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0496" w14:textId="096237F0" w:rsidR="00117014" w:rsidRPr="005A41DE" w:rsidRDefault="000D1581" w:rsidP="000D1581">
      <w:pPr>
        <w:pStyle w:val="Heading1"/>
        <w:rPr>
          <w:color w:val="00A04E"/>
        </w:rPr>
      </w:pPr>
      <w:r w:rsidRPr="005A41DE">
        <w:rPr>
          <w:color w:val="00A04E"/>
        </w:rPr>
        <w:t>Alternative Employment Programme (AEP) Guidance</w:t>
      </w:r>
    </w:p>
    <w:p w14:paraId="2F191EA3" w14:textId="77777777" w:rsidR="005F0ACA" w:rsidRPr="005F0ACA" w:rsidRDefault="005F0ACA" w:rsidP="005F0ACA">
      <w:pPr>
        <w:spacing w:before="0"/>
        <w:rPr>
          <w:lang w:eastAsia="en-US"/>
        </w:rPr>
      </w:pPr>
    </w:p>
    <w:tbl>
      <w:tblPr>
        <w:tblW w:w="0" w:type="auto"/>
        <w:tblInd w:w="-10" w:type="dxa"/>
        <w:tblCellMar>
          <w:left w:w="0" w:type="dxa"/>
          <w:right w:w="0" w:type="dxa"/>
        </w:tblCellMar>
        <w:tblLook w:val="04A0" w:firstRow="1" w:lastRow="0" w:firstColumn="1" w:lastColumn="0" w:noHBand="0" w:noVBand="1"/>
      </w:tblPr>
      <w:tblGrid>
        <w:gridCol w:w="2860"/>
        <w:gridCol w:w="3669"/>
        <w:gridCol w:w="3123"/>
      </w:tblGrid>
      <w:tr w:rsidR="00117014" w14:paraId="56FE8769" w14:textId="77777777" w:rsidTr="005A41DE">
        <w:tc>
          <w:tcPr>
            <w:tcW w:w="2860"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965224">
            <w:pPr>
              <w:pStyle w:val="StyleBackground1CenteredLinespacingMultiple115li"/>
              <w:rPr>
                <w:rFonts w:eastAsiaTheme="minorHAnsi"/>
                <w:sz w:val="24"/>
                <w:lang w:eastAsia="en-US"/>
              </w:rPr>
            </w:pPr>
            <w:r w:rsidRPr="001D0DF4">
              <w:t>Version Control</w:t>
            </w:r>
          </w:p>
        </w:tc>
        <w:tc>
          <w:tcPr>
            <w:tcW w:w="366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965224">
            <w:pPr>
              <w:pStyle w:val="StyleBackground1CenteredLinespacingMultiple115li"/>
              <w:rPr>
                <w:rFonts w:eastAsiaTheme="minorHAnsi"/>
                <w:sz w:val="24"/>
                <w:lang w:eastAsia="en-US"/>
              </w:rPr>
            </w:pPr>
            <w:r w:rsidRPr="001D0DF4">
              <w:t>Changes Made</w:t>
            </w:r>
          </w:p>
        </w:tc>
        <w:tc>
          <w:tcPr>
            <w:tcW w:w="3123"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965224">
            <w:pPr>
              <w:pStyle w:val="StyleBackground1CenteredLinespacingMultiple115li"/>
              <w:rPr>
                <w:rFonts w:eastAsiaTheme="minorHAnsi"/>
                <w:sz w:val="24"/>
                <w:lang w:eastAsia="en-US"/>
              </w:rPr>
            </w:pPr>
            <w:r w:rsidRPr="001D0DF4">
              <w:t>Author</w:t>
            </w:r>
          </w:p>
        </w:tc>
      </w:tr>
      <w:tr w:rsidR="00117014" w:rsidRPr="00440B9D" w14:paraId="18BF6B2E" w14:textId="77777777" w:rsidTr="00D3149F">
        <w:tc>
          <w:tcPr>
            <w:tcW w:w="2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576729CF" w:rsidR="00117014" w:rsidRDefault="00117014" w:rsidP="00D3149F">
            <w:pPr>
              <w:pStyle w:val="StyleCenteredLinespacingMultiple115li"/>
              <w:rPr>
                <w:rFonts w:eastAsiaTheme="minorHAnsi"/>
                <w:sz w:val="24"/>
                <w:lang w:eastAsia="en-US"/>
              </w:rPr>
            </w:pPr>
            <w:r>
              <w:t xml:space="preserve">Version </w:t>
            </w:r>
            <w:r w:rsidR="00BD2400">
              <w:t>2</w:t>
            </w:r>
            <w:r>
              <w:t xml:space="preserve"> – </w:t>
            </w:r>
            <w:r w:rsidR="00DB5EAD">
              <w:t>March</w:t>
            </w:r>
            <w:r>
              <w:t xml:space="preserve"> </w:t>
            </w:r>
            <w:r w:rsidRPr="00534139">
              <w:t>202</w:t>
            </w:r>
            <w:r w:rsidR="00BD2400">
              <w:t>4</w:t>
            </w:r>
          </w:p>
        </w:tc>
        <w:tc>
          <w:tcPr>
            <w:tcW w:w="3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E1073A">
            <w:pPr>
              <w:pStyle w:val="StyleCenteredLinespacingMultiple115li"/>
              <w:jc w:val="left"/>
              <w:rPr>
                <w:rFonts w:eastAsiaTheme="minorHAnsi"/>
                <w:lang w:eastAsia="en-US"/>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49257F19" w:rsidR="00117014" w:rsidRPr="00534139" w:rsidRDefault="00117014" w:rsidP="000D1581">
            <w:pPr>
              <w:pStyle w:val="StyleCenteredLinespacingMultiple115li"/>
              <w:rPr>
                <w:rFonts w:eastAsiaTheme="minorHAnsi"/>
              </w:rPr>
            </w:pPr>
            <w:r w:rsidRPr="00534139">
              <w:rPr>
                <w:rFonts w:eastAsiaTheme="minorHAnsi"/>
              </w:rPr>
              <w:t>HR</w:t>
            </w:r>
          </w:p>
        </w:tc>
      </w:tr>
    </w:tbl>
    <w:p w14:paraId="0FA3189A" w14:textId="77777777" w:rsidR="003E2C80" w:rsidRDefault="003E2C80" w:rsidP="003E2C80">
      <w:pPr>
        <w:pStyle w:val="SubHead"/>
        <w:rPr>
          <w:rFonts w:ascii="Arial" w:hAnsi="Arial" w:cs="Arial"/>
          <w:bCs/>
          <w:sz w:val="24"/>
        </w:rPr>
      </w:pPr>
    </w:p>
    <w:p w14:paraId="5C9A78DB" w14:textId="6F65149B" w:rsidR="0087445E" w:rsidRPr="005A41DE" w:rsidRDefault="00285D1F" w:rsidP="005F0ACA">
      <w:pPr>
        <w:pStyle w:val="Heading2"/>
        <w:rPr>
          <w:color w:val="00A04E"/>
        </w:rPr>
      </w:pPr>
      <w:r w:rsidRPr="005A41DE">
        <w:rPr>
          <w:color w:val="00A04E"/>
        </w:rPr>
        <w:t>Purpose</w:t>
      </w:r>
      <w:r w:rsidR="00695FE3" w:rsidRPr="005A41DE">
        <w:rPr>
          <w:color w:val="00A04E"/>
        </w:rPr>
        <w:t xml:space="preserve"> </w:t>
      </w:r>
    </w:p>
    <w:p w14:paraId="6FF6982E" w14:textId="5E2A3CEF" w:rsidR="00270654" w:rsidRDefault="00270654" w:rsidP="00270654">
      <w:r>
        <w:t xml:space="preserve">The Alternative Employment Programme (AEP) enables the movement of talent, knowledge, skills and experience around the council as we continue to re-shape the organisation. The council’s position is that, wherever possible, it is a priority to retain a well skilled workforce, one that is talented, knowledgeable and experienced. </w:t>
      </w:r>
    </w:p>
    <w:p w14:paraId="438A352B" w14:textId="0A6B530E" w:rsidR="00270654" w:rsidRDefault="00270654" w:rsidP="00270654">
      <w:r>
        <w:t xml:space="preserve">We aim to provide employees and managers with the support needed tailored to individual circumstances. This includes support for employees to help them complete job application forms to secure another post in the council. </w:t>
      </w:r>
    </w:p>
    <w:p w14:paraId="67B11604" w14:textId="687D431D" w:rsidR="00270654" w:rsidRDefault="00270654" w:rsidP="00270654">
      <w:r>
        <w:t xml:space="preserve">The council has specific responsibilities in cases of redundancy and disability.  In cases of redundancy the council has a responsibility to consider suitable alternative employment where an employee may potentially be made redundant.  In cases of disability there is a legal requirement to consider all reasonable adjustments, one of which could be an alternative type of work. </w:t>
      </w:r>
    </w:p>
    <w:p w14:paraId="0FA67711" w14:textId="0C055961" w:rsidR="00270654" w:rsidRPr="00DB5EAD" w:rsidRDefault="005A41DE" w:rsidP="00270654">
      <w:r>
        <w:t>Cumberland</w:t>
      </w:r>
      <w:r w:rsidR="00270654">
        <w:t xml:space="preserve"> Council vacancies are published on the council’s current vacancies webpage (</w:t>
      </w:r>
      <w:hyperlink r:id="rId8" w:history="1">
        <w:r w:rsidR="00C13C69" w:rsidRPr="00DB5EAD">
          <w:rPr>
            <w:rStyle w:val="Hyperlink"/>
            <w:sz w:val="24"/>
          </w:rPr>
          <w:t>www.cumberland.gov.uk/your-council/jobs</w:t>
        </w:r>
      </w:hyperlink>
      <w:r w:rsidR="00C13C69" w:rsidRPr="00DB5EAD">
        <w:t>)</w:t>
      </w:r>
      <w:r w:rsidR="00270654" w:rsidRPr="00DB5EAD">
        <w:t xml:space="preserve">. </w:t>
      </w:r>
    </w:p>
    <w:p w14:paraId="0FB529AF" w14:textId="407F71E4" w:rsidR="00270654" w:rsidRDefault="00270654" w:rsidP="00270654">
      <w:r w:rsidRPr="00DB5EAD">
        <w:t>Job vacancies in schools are currently advertised on the Children</w:t>
      </w:r>
      <w:r w:rsidR="007451F7" w:rsidRPr="00DB5EAD">
        <w:t>’</w:t>
      </w:r>
      <w:r w:rsidRPr="00DB5EAD">
        <w:t>s Services Education Job Vacancies webpage: (</w:t>
      </w:r>
      <w:hyperlink r:id="rId9" w:history="1">
        <w:r w:rsidR="00506592" w:rsidRPr="00DB5EAD">
          <w:rPr>
            <w:rStyle w:val="Hyperlink"/>
            <w:sz w:val="24"/>
          </w:rPr>
          <w:t>https://www.cumberland.gov.uk/schools-and-education/school-job-vacancies</w:t>
        </w:r>
      </w:hyperlink>
      <w:r w:rsidR="00506592" w:rsidRPr="00DB5EAD">
        <w:t>).</w:t>
      </w:r>
    </w:p>
    <w:p w14:paraId="340CCFBA" w14:textId="64308759" w:rsidR="00270654" w:rsidRPr="005A41DE" w:rsidRDefault="00270654" w:rsidP="007451F7">
      <w:pPr>
        <w:pStyle w:val="Heading2"/>
        <w:rPr>
          <w:color w:val="00A04E"/>
        </w:rPr>
      </w:pPr>
      <w:r w:rsidRPr="005A41DE">
        <w:rPr>
          <w:color w:val="00A04E"/>
        </w:rPr>
        <w:t xml:space="preserve">Eligibility </w:t>
      </w:r>
      <w:r w:rsidR="00063A5F" w:rsidRPr="005A41DE">
        <w:rPr>
          <w:color w:val="00A04E"/>
        </w:rPr>
        <w:t>c</w:t>
      </w:r>
      <w:r w:rsidRPr="005A41DE">
        <w:rPr>
          <w:color w:val="00A04E"/>
        </w:rPr>
        <w:t xml:space="preserve">riteria </w:t>
      </w:r>
    </w:p>
    <w:p w14:paraId="49253F78" w14:textId="02ABE75F" w:rsidR="00270654" w:rsidRDefault="00270654" w:rsidP="00270654">
      <w:r>
        <w:t xml:space="preserve">There are various reasons why an employee may require the support of the AEP. </w:t>
      </w:r>
    </w:p>
    <w:p w14:paraId="3500C792" w14:textId="77777777" w:rsidR="00270654" w:rsidRDefault="00270654" w:rsidP="00270654">
      <w:r>
        <w:t>An employee can join the AEP if:</w:t>
      </w:r>
    </w:p>
    <w:p w14:paraId="79F4F1DE" w14:textId="3CCB3B69" w:rsidR="00270654" w:rsidRDefault="00270654" w:rsidP="00063A5F">
      <w:pPr>
        <w:pStyle w:val="ListParagraph"/>
        <w:numPr>
          <w:ilvl w:val="0"/>
          <w:numId w:val="1"/>
        </w:numPr>
      </w:pPr>
      <w:r>
        <w:t>They are identified as at risk of redundancy through reorganisation or restructuring, including during maternity leave,</w:t>
      </w:r>
    </w:p>
    <w:p w14:paraId="44EFDCF1" w14:textId="74034721" w:rsidR="00270654" w:rsidRDefault="00270654" w:rsidP="00063A5F">
      <w:pPr>
        <w:pStyle w:val="ListParagraph"/>
        <w:numPr>
          <w:ilvl w:val="0"/>
          <w:numId w:val="1"/>
        </w:numPr>
      </w:pPr>
      <w:r>
        <w:t>They are nearing completion of an Apprenticeship,</w:t>
      </w:r>
    </w:p>
    <w:p w14:paraId="40FBD6CD" w14:textId="2BEFB267" w:rsidR="00270654" w:rsidRDefault="00270654" w:rsidP="00063A5F">
      <w:pPr>
        <w:pStyle w:val="ListParagraph"/>
        <w:numPr>
          <w:ilvl w:val="0"/>
          <w:numId w:val="1"/>
        </w:numPr>
      </w:pPr>
      <w:r>
        <w:t>They are approaching the end of a fixed term contract and they will have more than one year’s continuous service by the date employment is due to terminate,</w:t>
      </w:r>
    </w:p>
    <w:p w14:paraId="186C5ABB" w14:textId="3C402F73" w:rsidR="00270654" w:rsidRDefault="00270654" w:rsidP="00063A5F">
      <w:pPr>
        <w:pStyle w:val="ListParagraph"/>
        <w:numPr>
          <w:ilvl w:val="0"/>
          <w:numId w:val="1"/>
        </w:numPr>
      </w:pPr>
      <w:r>
        <w:t xml:space="preserve">They become </w:t>
      </w:r>
      <w:bookmarkStart w:id="0" w:name="_Hlk160114053"/>
      <w:r>
        <w:t>pregnant and cannot continue in their current post</w:t>
      </w:r>
      <w:bookmarkEnd w:id="0"/>
      <w:r>
        <w:t>,</w:t>
      </w:r>
    </w:p>
    <w:p w14:paraId="0FE16CC3" w14:textId="3B020061" w:rsidR="00270654" w:rsidRDefault="00270654" w:rsidP="00063A5F">
      <w:pPr>
        <w:pStyle w:val="ListParagraph"/>
        <w:numPr>
          <w:ilvl w:val="0"/>
          <w:numId w:val="1"/>
        </w:numPr>
      </w:pPr>
      <w:r>
        <w:lastRenderedPageBreak/>
        <w:t>Through ill-health or disability, they cannot continue in their current post; or where another post could be more suitable due to their disability with a reasonable adjustment,</w:t>
      </w:r>
    </w:p>
    <w:p w14:paraId="2B68D959" w14:textId="58993D26" w:rsidR="00270654" w:rsidRDefault="00270654" w:rsidP="00063A5F">
      <w:pPr>
        <w:pStyle w:val="ListParagraph"/>
        <w:numPr>
          <w:ilvl w:val="0"/>
          <w:numId w:val="1"/>
        </w:numPr>
      </w:pPr>
      <w:r>
        <w:t xml:space="preserve">There are reasons connected with discipline, grievance or capability. </w:t>
      </w:r>
    </w:p>
    <w:p w14:paraId="7067004C" w14:textId="77777777" w:rsidR="00270654" w:rsidRDefault="00270654" w:rsidP="007451F7">
      <w:pPr>
        <w:pStyle w:val="Heading2"/>
      </w:pPr>
      <w:r>
        <w:t xml:space="preserve">Joining the AEP </w:t>
      </w:r>
    </w:p>
    <w:p w14:paraId="5D7C359A" w14:textId="718FC790" w:rsidR="00270654" w:rsidRPr="00DB5EAD" w:rsidRDefault="00270654" w:rsidP="00270654">
      <w:r w:rsidRPr="00DB5EAD">
        <w:t xml:space="preserve">When an employee is identified as eligible to join the AEP, for reasons other than restructures, the manager must complete the Manager Authorisation form and send it to the </w:t>
      </w:r>
      <w:r w:rsidR="00206ABF" w:rsidRPr="00DB5EAD">
        <w:t>Resourcing Team</w:t>
      </w:r>
      <w:r w:rsidR="00D3149F" w:rsidRPr="00DB5EAD">
        <w:rPr>
          <w:color w:val="1F4E79"/>
          <w14:cntxtAlts/>
        </w:rPr>
        <w:t xml:space="preserve"> </w:t>
      </w:r>
      <w:r w:rsidRPr="00DB5EAD">
        <w:t xml:space="preserve">electronically through the HR </w:t>
      </w:r>
      <w:r w:rsidR="005A41DE" w:rsidRPr="00DB5EAD">
        <w:t>portal</w:t>
      </w:r>
      <w:r w:rsidRPr="00DB5EAD">
        <w:t>. For restructure reasons joining the AEP will be con</w:t>
      </w:r>
      <w:r w:rsidR="007451F7" w:rsidRPr="00DB5EAD">
        <w:t xml:space="preserve">firmed by HR Operations Teams. </w:t>
      </w:r>
    </w:p>
    <w:p w14:paraId="6DDFCA10" w14:textId="55311D94" w:rsidR="00230D2F" w:rsidRDefault="00270654" w:rsidP="007352D9">
      <w:r w:rsidRPr="00DB5EAD">
        <w:t>Membership of the AEP ceases</w:t>
      </w:r>
      <w:r>
        <w:t xml:space="preserve"> when an employee </w:t>
      </w:r>
      <w:r w:rsidR="007352D9">
        <w:t xml:space="preserve">either </w:t>
      </w:r>
      <w:r w:rsidR="00230D2F" w:rsidRPr="00230D2F">
        <w:t>secure</w:t>
      </w:r>
      <w:r w:rsidR="007352D9">
        <w:t xml:space="preserve">s alternative employment internally and their </w:t>
      </w:r>
      <w:r w:rsidR="00230D2F" w:rsidRPr="00230D2F">
        <w:t xml:space="preserve">work trial period has been completed or when the employee has been unable to secure an internal role and </w:t>
      </w:r>
      <w:proofErr w:type="gramStart"/>
      <w:r w:rsidR="00230D2F" w:rsidRPr="00230D2F">
        <w:t>there</w:t>
      </w:r>
      <w:proofErr w:type="gramEnd"/>
      <w:r w:rsidR="00230D2F" w:rsidRPr="00230D2F">
        <w:t xml:space="preserve"> employment with the council ceases.</w:t>
      </w:r>
    </w:p>
    <w:p w14:paraId="4D8AFC68" w14:textId="77777777" w:rsidR="00270654" w:rsidRDefault="00270654" w:rsidP="007451F7">
      <w:pPr>
        <w:pStyle w:val="Heading2"/>
      </w:pPr>
      <w:r>
        <w:t xml:space="preserve">Manager responsibilities </w:t>
      </w:r>
    </w:p>
    <w:p w14:paraId="31243D28" w14:textId="29BC9697" w:rsidR="00270654" w:rsidRDefault="00270654" w:rsidP="00270654">
      <w:r>
        <w:t>The line/service manager is expected to ensure the employee understands the AEP procedures and to arrange any training or support which may be required to assist the employee in securin</w:t>
      </w:r>
      <w:r w:rsidR="007451F7">
        <w:t xml:space="preserve">g a suitable alternative post. </w:t>
      </w:r>
    </w:p>
    <w:p w14:paraId="1480C235" w14:textId="52DAE873" w:rsidR="00270654" w:rsidRDefault="00270654" w:rsidP="00270654">
      <w:r>
        <w:t xml:space="preserve">The manager must hold regular meetings whilst the employee is on AEP to ensure they are proactively seeking a suitable alternative post and to update HR of any changes to the employment status or the employee’s circumstances. A review will take place after three months. </w:t>
      </w:r>
    </w:p>
    <w:p w14:paraId="2AA722ED" w14:textId="77777777" w:rsidR="00270654" w:rsidRDefault="00270654" w:rsidP="007451F7">
      <w:pPr>
        <w:pStyle w:val="Heading2"/>
      </w:pPr>
      <w:r>
        <w:t xml:space="preserve">Employee responsibilities </w:t>
      </w:r>
    </w:p>
    <w:p w14:paraId="68F3B65C" w14:textId="22D94EE7" w:rsidR="00270654" w:rsidRDefault="00270654" w:rsidP="00270654">
      <w:r>
        <w:t xml:space="preserve">Employees on AEP are required to check the </w:t>
      </w:r>
      <w:r w:rsidR="00063A5F">
        <w:t>c</w:t>
      </w:r>
      <w:r>
        <w:t xml:space="preserve">ouncil’s Current Vacancies on a daily basis and submit an application for any jobs they wish to be considered for. Where an employee does not have access to the internet then they should notify their line manager so alternative arrangements can be made to check vacancies. </w:t>
      </w:r>
    </w:p>
    <w:p w14:paraId="68A7E693" w14:textId="77777777" w:rsidR="00270654" w:rsidRPr="00DB5EAD" w:rsidRDefault="00270654" w:rsidP="00270654">
      <w:r>
        <w:t xml:space="preserve">AEP employees should consider all posts which are a similar grade to their current post and where they can demonstrate that they have (or can attain with reasonable training and support) the knowledge, skills and experience to fulfil the key responsibilities of the advertised post.  They should also consider changes to their working arrangements for example, whether they are able to work in an alternative location or different hours as this may </w:t>
      </w:r>
      <w:r w:rsidRPr="00DB5EAD">
        <w:t xml:space="preserve">enhance the possibility of securing an alternative post.  </w:t>
      </w:r>
    </w:p>
    <w:p w14:paraId="42199144" w14:textId="186FC7D8" w:rsidR="00374222" w:rsidRPr="00DB5EAD" w:rsidRDefault="00270654" w:rsidP="00270654">
      <w:r w:rsidRPr="00DB5EAD">
        <w:t>AEP employees need to be able to identify their transferable skills and consider how these may be applied in roles other than their current post or area of work.</w:t>
      </w:r>
      <w:r w:rsidR="00374222" w:rsidRPr="00DB5EAD">
        <w:t xml:space="preserve"> AEP employees can refer to our </w:t>
      </w:r>
      <w:hyperlink r:id="rId10" w:history="1">
        <w:r w:rsidR="00374222" w:rsidRPr="00DB5EAD">
          <w:rPr>
            <w:rStyle w:val="Hyperlink"/>
            <w:sz w:val="24"/>
          </w:rPr>
          <w:t>Learning &amp; Development Hub</w:t>
        </w:r>
      </w:hyperlink>
      <w:r w:rsidR="00374222" w:rsidRPr="00DB5EAD">
        <w:t xml:space="preserve"> for </w:t>
      </w:r>
      <w:r w:rsidR="00A0418C" w:rsidRPr="00DB5EAD">
        <w:t>training and development opportunities to upskill or re-skill for a new role.</w:t>
      </w:r>
    </w:p>
    <w:p w14:paraId="491D5EE3" w14:textId="77777777" w:rsidR="00270654" w:rsidRPr="00DB5EAD" w:rsidRDefault="00270654" w:rsidP="00270654">
      <w:r w:rsidRPr="00DB5EAD">
        <w:t>Engagement with the AEP will be monitored</w:t>
      </w:r>
      <w:r>
        <w:t xml:space="preserve">. Where an employee on the AEP repeatedly fails to engage in the process they may be placed in a vulnerable position and may be </w:t>
      </w:r>
      <w:r w:rsidRPr="00DB5EAD">
        <w:lastRenderedPageBreak/>
        <w:t xml:space="preserve">removed from the programme. In serious cases this may also affect any entitlement to redundancy pay. </w:t>
      </w:r>
    </w:p>
    <w:p w14:paraId="06CE0129" w14:textId="558EE147" w:rsidR="00270654" w:rsidRDefault="00270654" w:rsidP="00270654">
      <w:r w:rsidRPr="00DB5EAD">
        <w:t xml:space="preserve">Where an AEP candidate submits multiple applications in a short space of time and is invited for </w:t>
      </w:r>
      <w:r w:rsidR="00EC4A4A" w:rsidRPr="00DB5EAD">
        <w:t>a trial period discussion</w:t>
      </w:r>
      <w:r w:rsidRPr="00DB5EAD">
        <w:t xml:space="preserve"> for more than one post and is offered one or more posts, they will be required to confirm acceptance of an offer on the same day or no later than 48 hours of the offer being made.  If they do not, the offer may be rescinded as it may not be acceptable for the recruiting manager</w:t>
      </w:r>
      <w:r>
        <w:t xml:space="preserve"> to delay any appointment or re-advertisement unduly. </w:t>
      </w:r>
    </w:p>
    <w:p w14:paraId="6B6824B5" w14:textId="394D9420" w:rsidR="00270654" w:rsidRDefault="00270654" w:rsidP="00270654">
      <w:r>
        <w:t>If an AEP employee unreasonably refuses an offer of suitable alternative employment they may forfeit their entitlement to redundancy pay an</w:t>
      </w:r>
      <w:r w:rsidR="007451F7">
        <w:t xml:space="preserve">d may be removed from the AEP. </w:t>
      </w:r>
    </w:p>
    <w:p w14:paraId="1555189C" w14:textId="69A064FD" w:rsidR="00270654" w:rsidRPr="00DB5EAD" w:rsidRDefault="00270654" w:rsidP="007451F7">
      <w:pPr>
        <w:pStyle w:val="Heading2"/>
        <w:rPr>
          <w:color w:val="00A04E"/>
        </w:rPr>
      </w:pPr>
      <w:r w:rsidRPr="00DB5EAD">
        <w:rPr>
          <w:color w:val="00A04E"/>
        </w:rPr>
        <w:t xml:space="preserve">Recruiting manager responsibilities - Shortlisting </w:t>
      </w:r>
      <w:r w:rsidR="00063A5F" w:rsidRPr="00DB5EAD">
        <w:rPr>
          <w:color w:val="00A04E"/>
        </w:rPr>
        <w:t>and</w:t>
      </w:r>
      <w:r w:rsidRPr="00DB5EAD">
        <w:rPr>
          <w:color w:val="00A04E"/>
        </w:rPr>
        <w:t xml:space="preserve"> </w:t>
      </w:r>
      <w:r w:rsidR="00EC4A4A" w:rsidRPr="00DB5EAD">
        <w:rPr>
          <w:color w:val="00A04E"/>
        </w:rPr>
        <w:t>Trial Period Discussion Meetings</w:t>
      </w:r>
    </w:p>
    <w:p w14:paraId="4F81FEE3" w14:textId="2FFB86B4" w:rsidR="00270654" w:rsidRPr="00DB5EAD" w:rsidRDefault="00270654" w:rsidP="00270654">
      <w:r w:rsidRPr="00DB5EAD">
        <w:t xml:space="preserve">All applications submitted by AEP employees must be considered by the recruiting manager </w:t>
      </w:r>
      <w:r w:rsidR="003536F2" w:rsidRPr="00DB5EAD">
        <w:t>before</w:t>
      </w:r>
      <w:r w:rsidRPr="00DB5EAD">
        <w:t xml:space="preserve"> the advert closes </w:t>
      </w:r>
      <w:r w:rsidR="003536F2" w:rsidRPr="00DB5EAD">
        <w:t xml:space="preserve">or </w:t>
      </w:r>
      <w:r w:rsidR="007C6A03" w:rsidRPr="00DB5EAD">
        <w:t xml:space="preserve">shortlisting of </w:t>
      </w:r>
      <w:r w:rsidR="003536F2" w:rsidRPr="00DB5EAD">
        <w:t>any other applica</w:t>
      </w:r>
      <w:r w:rsidR="007C6A03" w:rsidRPr="00DB5EAD">
        <w:t>nt</w:t>
      </w:r>
      <w:r w:rsidR="003536F2" w:rsidRPr="00DB5EAD">
        <w:t xml:space="preserve">s </w:t>
      </w:r>
      <w:r w:rsidR="007C6A03" w:rsidRPr="00DB5EAD">
        <w:t>has occurred</w:t>
      </w:r>
      <w:r w:rsidR="007451F7" w:rsidRPr="00DB5EAD">
        <w:t xml:space="preserve">. </w:t>
      </w:r>
    </w:p>
    <w:p w14:paraId="491C214E" w14:textId="1682A4D0" w:rsidR="00270654" w:rsidRDefault="00270654" w:rsidP="00270654">
      <w:r w:rsidRPr="00DB5EAD">
        <w:t>Where an AEP employee meets or reasonably meets the essential criteria for the post</w:t>
      </w:r>
      <w:r w:rsidR="00C53CB7" w:rsidRPr="00DB5EAD">
        <w:t>, the recruiting manager must</w:t>
      </w:r>
      <w:r w:rsidRPr="00DB5EAD">
        <w:t xml:space="preserve"> invite</w:t>
      </w:r>
      <w:r w:rsidR="00C53CB7" w:rsidRPr="00DB5EAD">
        <w:t xml:space="preserve"> them </w:t>
      </w:r>
      <w:r w:rsidRPr="00DB5EAD">
        <w:t xml:space="preserve">to </w:t>
      </w:r>
      <w:r w:rsidR="00C53CB7" w:rsidRPr="00DB5EAD">
        <w:t>a discussion about starting a trial period in the role</w:t>
      </w:r>
      <w:r w:rsidRPr="00DB5EAD">
        <w:t>. Where there are gaps in the essential requirements, serious consideration should be given to whether with reasonable additional training</w:t>
      </w:r>
      <w:r>
        <w:t xml:space="preserve">, coaching or mentoring it would enable the AEP candidate to acquire them within a reasonable period of time. </w:t>
      </w:r>
    </w:p>
    <w:p w14:paraId="50745903" w14:textId="770E91A6" w:rsidR="00270654" w:rsidRDefault="00270654" w:rsidP="00270654">
      <w:r>
        <w:t>For the purposes of shortlisting against the essential criteria for a role, the Recruiting Manager is expected to consider th</w:t>
      </w:r>
      <w:r w:rsidR="007451F7">
        <w:t xml:space="preserve">e following for AEP </w:t>
      </w:r>
      <w:proofErr w:type="gramStart"/>
      <w:r w:rsidR="007451F7">
        <w:t>Candidates;</w:t>
      </w:r>
      <w:proofErr w:type="gramEnd"/>
    </w:p>
    <w:p w14:paraId="1A87AD9F" w14:textId="77777777" w:rsidR="00270654" w:rsidRPr="005A41DE" w:rsidRDefault="00270654" w:rsidP="007451F7">
      <w:pPr>
        <w:pStyle w:val="Heading3"/>
        <w:rPr>
          <w:color w:val="00A04E"/>
        </w:rPr>
      </w:pPr>
      <w:r w:rsidRPr="005A41DE">
        <w:rPr>
          <w:color w:val="00A04E"/>
        </w:rPr>
        <w:t xml:space="preserve">Qualifications: </w:t>
      </w:r>
    </w:p>
    <w:p w14:paraId="621C64F5" w14:textId="77777777" w:rsidR="00270654" w:rsidRDefault="00270654" w:rsidP="00063A5F">
      <w:pPr>
        <w:pStyle w:val="ListParagraph"/>
        <w:numPr>
          <w:ilvl w:val="0"/>
          <w:numId w:val="2"/>
        </w:numPr>
      </w:pPr>
      <w:r>
        <w:t>Do they hold similar subject qualifications at a similar level as those required for the post?</w:t>
      </w:r>
    </w:p>
    <w:p w14:paraId="7659EDAE" w14:textId="77777777" w:rsidR="00270654" w:rsidRDefault="00270654" w:rsidP="00063A5F">
      <w:pPr>
        <w:pStyle w:val="ListParagraph"/>
        <w:numPr>
          <w:ilvl w:val="0"/>
          <w:numId w:val="2"/>
        </w:numPr>
      </w:pPr>
      <w:r>
        <w:t>Where applicable, can they demonstrate demonstrable equivalent experience?</w:t>
      </w:r>
    </w:p>
    <w:p w14:paraId="730034E1" w14:textId="77777777" w:rsidR="00270654" w:rsidRPr="005A41DE" w:rsidRDefault="00270654" w:rsidP="007451F7">
      <w:pPr>
        <w:pStyle w:val="Heading3"/>
        <w:rPr>
          <w:color w:val="00A04E"/>
        </w:rPr>
      </w:pPr>
      <w:r w:rsidRPr="005A41DE">
        <w:rPr>
          <w:color w:val="00A04E"/>
        </w:rPr>
        <w:t xml:space="preserve">Experience: </w:t>
      </w:r>
    </w:p>
    <w:p w14:paraId="69F98190" w14:textId="77777777" w:rsidR="00270654" w:rsidRDefault="00270654" w:rsidP="00063A5F">
      <w:pPr>
        <w:pStyle w:val="ListParagraph"/>
        <w:numPr>
          <w:ilvl w:val="0"/>
          <w:numId w:val="3"/>
        </w:numPr>
      </w:pPr>
      <w:r>
        <w:t xml:space="preserve">Does the applicant have similar experience or transferable experience which means that they could adapt to the role in a reasonable period of time? </w:t>
      </w:r>
    </w:p>
    <w:p w14:paraId="23EC6BD3" w14:textId="77777777" w:rsidR="00270654" w:rsidRPr="005A41DE" w:rsidRDefault="00270654" w:rsidP="007451F7">
      <w:pPr>
        <w:pStyle w:val="Heading3"/>
        <w:rPr>
          <w:color w:val="00A04E"/>
        </w:rPr>
      </w:pPr>
      <w:r w:rsidRPr="005A41DE">
        <w:rPr>
          <w:color w:val="00A04E"/>
        </w:rPr>
        <w:t>Knowledge:</w:t>
      </w:r>
    </w:p>
    <w:p w14:paraId="3FF13074" w14:textId="77777777" w:rsidR="00270654" w:rsidRDefault="00270654" w:rsidP="00063A5F">
      <w:pPr>
        <w:pStyle w:val="ListParagraph"/>
        <w:numPr>
          <w:ilvl w:val="0"/>
          <w:numId w:val="3"/>
        </w:numPr>
      </w:pPr>
      <w:r>
        <w:t xml:space="preserve">Does the applicant have an acceptable level of knowledge of the areas of work? </w:t>
      </w:r>
    </w:p>
    <w:p w14:paraId="22DCB1D3" w14:textId="77777777" w:rsidR="00270654" w:rsidRDefault="00270654" w:rsidP="00063A5F">
      <w:pPr>
        <w:pStyle w:val="ListParagraph"/>
        <w:numPr>
          <w:ilvl w:val="0"/>
          <w:numId w:val="3"/>
        </w:numPr>
      </w:pPr>
      <w:r>
        <w:t xml:space="preserve">Or can the knowledge be gained within a reasonable period of time with suitable training? </w:t>
      </w:r>
    </w:p>
    <w:p w14:paraId="079EC3C6" w14:textId="77777777" w:rsidR="00270654" w:rsidRDefault="00270654" w:rsidP="007451F7">
      <w:pPr>
        <w:pStyle w:val="Heading3"/>
      </w:pPr>
      <w:r w:rsidRPr="005A41DE">
        <w:rPr>
          <w:color w:val="00A04E"/>
        </w:rPr>
        <w:t xml:space="preserve">Skills: </w:t>
      </w:r>
      <w:r>
        <w:tab/>
      </w:r>
    </w:p>
    <w:p w14:paraId="6FFA1F51" w14:textId="08152050" w:rsidR="00270654" w:rsidRDefault="00270654" w:rsidP="00270654">
      <w:r>
        <w:t xml:space="preserve">Does the employee have transferable skills which would enable competence within the role </w:t>
      </w:r>
      <w:r w:rsidR="007451F7">
        <w:t xml:space="preserve">within a reasonable timescale? </w:t>
      </w:r>
    </w:p>
    <w:p w14:paraId="6CC8422F" w14:textId="77777777" w:rsidR="0077113D" w:rsidRDefault="00270654" w:rsidP="00270654">
      <w:r>
        <w:lastRenderedPageBreak/>
        <w:t>Guidance can be sought from HR Operations when determining the appropriateness of transferable skills.</w:t>
      </w:r>
    </w:p>
    <w:p w14:paraId="673CF179" w14:textId="58635780" w:rsidR="0077113D" w:rsidRPr="00DB5EAD" w:rsidRDefault="0077113D" w:rsidP="00270654">
      <w:r w:rsidRPr="00DB5EAD">
        <w:t>In relation to applicants with a disability, recruiting managers must make all efforts to ensure that reasonable adjustments are provided for employees. In most cases the recruiting manager should have a discussion with the employee to determine what their needs are and their suggestions for support. Recruiting managers should contact People Management for further advice.</w:t>
      </w:r>
    </w:p>
    <w:p w14:paraId="19650376" w14:textId="599FEC66" w:rsidR="00270654" w:rsidRPr="00DB5EAD" w:rsidRDefault="00270654" w:rsidP="00270654">
      <w:r w:rsidRPr="00DB5EAD">
        <w:t xml:space="preserve">Recruiting managers must evidence the shortlisting and </w:t>
      </w:r>
      <w:r w:rsidR="001715F3" w:rsidRPr="00DB5EAD">
        <w:t>trial period discussion</w:t>
      </w:r>
      <w:r w:rsidRPr="00DB5EAD">
        <w:t xml:space="preserve"> decisions providing detailed information where candidates are not shortlisted / appointed and the considerations/adjustments that were taken into account in the </w:t>
      </w:r>
      <w:proofErr w:type="gramStart"/>
      <w:r w:rsidRPr="00DB5EAD">
        <w:t>decision making</w:t>
      </w:r>
      <w:proofErr w:type="gramEnd"/>
      <w:r w:rsidRPr="00DB5EAD">
        <w:t xml:space="preserve"> process.  </w:t>
      </w:r>
    </w:p>
    <w:p w14:paraId="5342784B" w14:textId="6ACD8D6F" w:rsidR="00270654" w:rsidRDefault="00270654" w:rsidP="00D3149F">
      <w:r w:rsidRPr="00DB5EAD">
        <w:t xml:space="preserve">All shortlisting information must be provided to </w:t>
      </w:r>
      <w:r w:rsidR="001C7466" w:rsidRPr="00DB5EAD">
        <w:t xml:space="preserve">the Resourcing Team via the Recruitment Portal </w:t>
      </w:r>
      <w:r w:rsidRPr="00DB5EAD">
        <w:t xml:space="preserve">so that the outcomes can be recorded, moderated and </w:t>
      </w:r>
      <w:r w:rsidR="004B1FA1" w:rsidRPr="00DB5EAD">
        <w:t>trial period discussion</w:t>
      </w:r>
      <w:r w:rsidRPr="00DB5EAD">
        <w:t xml:space="preserve"> letters </w:t>
      </w:r>
      <w:r w:rsidR="003F4B2D" w:rsidRPr="00DB5EAD">
        <w:t xml:space="preserve">can be </w:t>
      </w:r>
      <w:r w:rsidRPr="00DB5EAD">
        <w:t>issued. Where necessary</w:t>
      </w:r>
      <w:r w:rsidRPr="00D3149F">
        <w:t xml:space="preserve">, invitation letters </w:t>
      </w:r>
      <w:r w:rsidR="003F4B2D">
        <w:t>should</w:t>
      </w:r>
      <w:r w:rsidRPr="00D3149F">
        <w:t xml:space="preserve"> not be issued until all information has been received. </w:t>
      </w:r>
    </w:p>
    <w:p w14:paraId="030F756C" w14:textId="62374073" w:rsidR="005E71CC" w:rsidRDefault="005E71CC" w:rsidP="00D3149F">
      <w:r>
        <w:t xml:space="preserve">Recruiting Managers should agree any trial period start dates with the AEP applicant’s current line manager to ensure </w:t>
      </w:r>
      <w:r w:rsidR="00BA237E">
        <w:t>an informed transition for the employee to move into the trial for their new role.</w:t>
      </w:r>
    </w:p>
    <w:p w14:paraId="4811A508" w14:textId="6C9B247D" w:rsidR="00A30655" w:rsidRPr="00D3149F" w:rsidRDefault="003F4B2D" w:rsidP="00D3149F">
      <w:r>
        <w:t xml:space="preserve">Recruiting Managers can access the trial period discussion letters </w:t>
      </w:r>
      <w:r w:rsidR="00A30655">
        <w:t xml:space="preserve">on our AEP information point and should issue out letters to the AEP applicant unless otherwise advised by the Resourcing Team </w:t>
      </w:r>
      <w:r w:rsidR="00AE6E9B">
        <w:t>that the letters will be issued centrally.</w:t>
      </w:r>
    </w:p>
    <w:p w14:paraId="380DB874" w14:textId="37022C06" w:rsidR="00270654" w:rsidRPr="00BA237E" w:rsidRDefault="00270654" w:rsidP="00D3149F">
      <w:r w:rsidRPr="00D3149F">
        <w:t xml:space="preserve">The </w:t>
      </w:r>
      <w:r w:rsidRPr="00BA237E">
        <w:t xml:space="preserve">recruiting manager will be advised by </w:t>
      </w:r>
      <w:r w:rsidR="00572773" w:rsidRPr="00BA237E">
        <w:rPr>
          <w14:cntxtAlts/>
        </w:rPr>
        <w:t>Resourcing Team</w:t>
      </w:r>
      <w:r w:rsidR="00D3149F" w:rsidRPr="00BA237E">
        <w:rPr>
          <w14:cntxtAlts/>
        </w:rPr>
        <w:t xml:space="preserve"> </w:t>
      </w:r>
      <w:r w:rsidRPr="00BA237E">
        <w:t xml:space="preserve">of any applications from AEP employees who are due to leave employment prior to the scheduled shortlist or </w:t>
      </w:r>
      <w:r w:rsidR="00AC6783" w:rsidRPr="00BA237E">
        <w:t>trial period discussion</w:t>
      </w:r>
      <w:r w:rsidRPr="00BA237E">
        <w:t xml:space="preserve"> date.  Where an AEP employee is identified as ‘at risk’ of redundancy and has been issued with notice of termination, they must be </w:t>
      </w:r>
      <w:r w:rsidR="00AC6783" w:rsidRPr="00BA237E">
        <w:t>invited to a trial period discussion</w:t>
      </w:r>
      <w:r w:rsidRPr="00BA237E">
        <w:t xml:space="preserve"> if they reasonably meet the essential criteria of the post and, if </w:t>
      </w:r>
      <w:r w:rsidR="001D7BF9" w:rsidRPr="00BA237E">
        <w:t>both parties agree</w:t>
      </w:r>
      <w:r w:rsidRPr="00BA237E">
        <w:t xml:space="preserve">, offered the post before their termination date.  </w:t>
      </w:r>
    </w:p>
    <w:p w14:paraId="5AA1F77B" w14:textId="3ACE75CD" w:rsidR="00270654" w:rsidRPr="00544CCB" w:rsidRDefault="00270654" w:rsidP="00270654">
      <w:r w:rsidRPr="00544CCB">
        <w:t xml:space="preserve">Recruiting managers must be aware that where both AEP and </w:t>
      </w:r>
      <w:proofErr w:type="gramStart"/>
      <w:r w:rsidRPr="00544CCB">
        <w:t>non AEP</w:t>
      </w:r>
      <w:proofErr w:type="gramEnd"/>
      <w:r w:rsidRPr="00544CCB">
        <w:t xml:space="preserve"> employees are deemed as appointable through the recruitment process based on the criteria applicable to the circumstances, that AEP candidates will take preced</w:t>
      </w:r>
      <w:r w:rsidR="007451F7" w:rsidRPr="00544CCB">
        <w:t xml:space="preserve">ence over non AEP applicants. </w:t>
      </w:r>
    </w:p>
    <w:p w14:paraId="116609DC" w14:textId="1A75A717" w:rsidR="00806300" w:rsidRPr="00544CCB" w:rsidRDefault="007074BD" w:rsidP="00270654">
      <w:r w:rsidRPr="00544CCB">
        <w:t xml:space="preserve">Where there are applications from more than one AEP employee, </w:t>
      </w:r>
      <w:r w:rsidR="00E15F46" w:rsidRPr="00544CCB">
        <w:t xml:space="preserve">and where the reasons for displacement of such employees differ, recruiting managers </w:t>
      </w:r>
      <w:r w:rsidR="00157B74" w:rsidRPr="00544CCB">
        <w:t>must follow a priority order in shortlisting and initiating a trial period discussion</w:t>
      </w:r>
      <w:r w:rsidR="00806300" w:rsidRPr="00544CCB">
        <w:t>. The priority order is as follows.:</w:t>
      </w:r>
    </w:p>
    <w:p w14:paraId="348C1457" w14:textId="449567BD" w:rsidR="00806300" w:rsidRPr="00544CCB" w:rsidRDefault="00806300" w:rsidP="00806300">
      <w:pPr>
        <w:pStyle w:val="ListParagraph"/>
        <w:numPr>
          <w:ilvl w:val="0"/>
          <w:numId w:val="4"/>
        </w:numPr>
      </w:pPr>
      <w:r w:rsidRPr="00544CCB">
        <w:t xml:space="preserve">Priority 1 – </w:t>
      </w:r>
      <w:r w:rsidR="00426E7D" w:rsidRPr="00544CCB">
        <w:t xml:space="preserve">Employees </w:t>
      </w:r>
      <w:r w:rsidRPr="00544CCB">
        <w:t>facing redundancy who are on maternity, adoption of shared parental leave.</w:t>
      </w:r>
    </w:p>
    <w:p w14:paraId="526C258F" w14:textId="6DD09248" w:rsidR="008F3B2D" w:rsidRPr="00544CCB" w:rsidRDefault="008F3B2D" w:rsidP="008F3B2D">
      <w:pPr>
        <w:pStyle w:val="ListParagraph"/>
        <w:numPr>
          <w:ilvl w:val="0"/>
          <w:numId w:val="4"/>
        </w:numPr>
      </w:pPr>
      <w:r w:rsidRPr="00544CCB">
        <w:t xml:space="preserve">Priority 2 – </w:t>
      </w:r>
      <w:r w:rsidR="00426E7D" w:rsidRPr="00544CCB">
        <w:t>Employees who are pregnant and cannot continue in their current post</w:t>
      </w:r>
      <w:r w:rsidRPr="00544CCB">
        <w:t>.</w:t>
      </w:r>
    </w:p>
    <w:p w14:paraId="7CF51083" w14:textId="140A25C8" w:rsidR="00806300" w:rsidRPr="00544CCB" w:rsidRDefault="00806300" w:rsidP="00806300">
      <w:pPr>
        <w:pStyle w:val="ListParagraph"/>
        <w:numPr>
          <w:ilvl w:val="0"/>
          <w:numId w:val="4"/>
        </w:numPr>
      </w:pPr>
      <w:r w:rsidRPr="00544CCB">
        <w:t xml:space="preserve">Priority </w:t>
      </w:r>
      <w:r w:rsidR="008F3B2D" w:rsidRPr="00544CCB">
        <w:t>3</w:t>
      </w:r>
      <w:r w:rsidRPr="00544CCB">
        <w:t xml:space="preserve"> – </w:t>
      </w:r>
      <w:r w:rsidR="00426E7D" w:rsidRPr="00544CCB">
        <w:t xml:space="preserve">Employees </w:t>
      </w:r>
      <w:r w:rsidRPr="00544CCB">
        <w:t>who require a reasonable adjustment due to a disability or are deemed by Occupational Health to be medically unfit to carry out their substantive role</w:t>
      </w:r>
      <w:r w:rsidR="00317D39" w:rsidRPr="00544CCB">
        <w:t>.</w:t>
      </w:r>
    </w:p>
    <w:p w14:paraId="608779A8" w14:textId="2237807A" w:rsidR="00806300" w:rsidRPr="00544CCB" w:rsidRDefault="00806300" w:rsidP="00806300">
      <w:pPr>
        <w:pStyle w:val="ListParagraph"/>
        <w:numPr>
          <w:ilvl w:val="0"/>
          <w:numId w:val="4"/>
        </w:numPr>
      </w:pPr>
      <w:r w:rsidRPr="00544CCB">
        <w:lastRenderedPageBreak/>
        <w:t xml:space="preserve">Priority </w:t>
      </w:r>
      <w:r w:rsidR="008F3B2D" w:rsidRPr="00544CCB">
        <w:t>4</w:t>
      </w:r>
      <w:r w:rsidRPr="00544CCB">
        <w:t xml:space="preserve"> - </w:t>
      </w:r>
      <w:r w:rsidR="00426E7D" w:rsidRPr="00544CCB">
        <w:t xml:space="preserve">Employees </w:t>
      </w:r>
      <w:r w:rsidRPr="00544CCB">
        <w:t>under threat of redundancy or facing expiry of fixed term contract for reasons of redundancy</w:t>
      </w:r>
      <w:r w:rsidR="00317D39" w:rsidRPr="00544CCB">
        <w:t>.</w:t>
      </w:r>
      <w:r w:rsidR="008F3B2D" w:rsidRPr="00544CCB">
        <w:t xml:space="preserve"> This includes those nearing completion of an Apprenticeship.</w:t>
      </w:r>
    </w:p>
    <w:p w14:paraId="68473761" w14:textId="66ADC82D" w:rsidR="007074BD" w:rsidRPr="00544CCB" w:rsidRDefault="00806300" w:rsidP="00806300">
      <w:pPr>
        <w:pStyle w:val="ListParagraph"/>
        <w:numPr>
          <w:ilvl w:val="0"/>
          <w:numId w:val="4"/>
        </w:numPr>
      </w:pPr>
      <w:r w:rsidRPr="00544CCB">
        <w:t xml:space="preserve">Priority </w:t>
      </w:r>
      <w:r w:rsidR="008F3B2D" w:rsidRPr="00544CCB">
        <w:t>5</w:t>
      </w:r>
      <w:r w:rsidRPr="00544CCB">
        <w:t xml:space="preserve"> - </w:t>
      </w:r>
      <w:r w:rsidR="00426E7D" w:rsidRPr="00544CCB">
        <w:t xml:space="preserve">Employees </w:t>
      </w:r>
      <w:r w:rsidRPr="00544CCB">
        <w:t xml:space="preserve">for reasons of </w:t>
      </w:r>
      <w:r w:rsidR="008F3B2D" w:rsidRPr="00544CCB">
        <w:t xml:space="preserve">discipline, </w:t>
      </w:r>
      <w:proofErr w:type="gramStart"/>
      <w:r w:rsidR="008F3B2D" w:rsidRPr="00544CCB">
        <w:t>grievance</w:t>
      </w:r>
      <w:proofErr w:type="gramEnd"/>
      <w:r w:rsidR="008F3B2D" w:rsidRPr="00544CCB">
        <w:t xml:space="preserve"> or capability</w:t>
      </w:r>
      <w:r w:rsidRPr="00544CCB">
        <w:t>.</w:t>
      </w:r>
      <w:r w:rsidR="00157B74" w:rsidRPr="00544CCB">
        <w:t xml:space="preserve"> </w:t>
      </w:r>
    </w:p>
    <w:p w14:paraId="1F3B4E40" w14:textId="1DB2C694" w:rsidR="00270654" w:rsidRPr="00544CCB" w:rsidRDefault="00270654" w:rsidP="00270654">
      <w:r w:rsidRPr="00544CCB">
        <w:t>AEP non-appointment decisions will be reviewed</w:t>
      </w:r>
      <w:r w:rsidR="00717388" w:rsidRPr="00544CCB">
        <w:t xml:space="preserve"> by the Resourcing Team</w:t>
      </w:r>
      <w:r w:rsidRPr="00544CCB">
        <w:t xml:space="preserve"> to ensure consistent application of processes. </w:t>
      </w:r>
    </w:p>
    <w:p w14:paraId="4135ABE4" w14:textId="2DEBCE44" w:rsidR="00270654" w:rsidRPr="00DB5EAD" w:rsidRDefault="00270654" w:rsidP="00270654">
      <w:r w:rsidRPr="00544CCB">
        <w:t xml:space="preserve">Recruiting managers must be prepared to provide constructive feedback to AEP candidates who are either not shortlisted or </w:t>
      </w:r>
      <w:r w:rsidR="00717388" w:rsidRPr="00544CCB">
        <w:t>where both parties don’t agree to starting a trial period at the discussion</w:t>
      </w:r>
      <w:r w:rsidRPr="00544CCB">
        <w:t>. Feedback should be</w:t>
      </w:r>
      <w:r w:rsidRPr="00DB5EAD">
        <w:t xml:space="preserve"> provided promptly to aid the AEP employee to adopt any suggested improvements to their applications or </w:t>
      </w:r>
      <w:r w:rsidR="00EC4A4A" w:rsidRPr="00DB5EAD">
        <w:t>personal presentation</w:t>
      </w:r>
      <w:r w:rsidRPr="00DB5EAD">
        <w:t xml:space="preserve"> technique. </w:t>
      </w:r>
    </w:p>
    <w:p w14:paraId="43101DF9" w14:textId="77777777" w:rsidR="00270654" w:rsidRPr="00DB5EAD" w:rsidRDefault="00270654" w:rsidP="007451F7">
      <w:pPr>
        <w:pStyle w:val="Heading2"/>
        <w:rPr>
          <w:color w:val="00A04E"/>
        </w:rPr>
      </w:pPr>
      <w:r w:rsidRPr="00DB5EAD">
        <w:rPr>
          <w:color w:val="00A04E"/>
        </w:rPr>
        <w:t>Redundancy and trial periods</w:t>
      </w:r>
    </w:p>
    <w:p w14:paraId="5C5AB29F" w14:textId="77777777" w:rsidR="00270654" w:rsidRDefault="00270654" w:rsidP="00270654">
      <w:r w:rsidRPr="00DB5EAD">
        <w:t>An employee who is under notice of redundancy has a statutory provision</w:t>
      </w:r>
      <w:r>
        <w:t xml:space="preserve"> for a four weeks trial period in an alternative job where the terms of the new contract differ from the original contract. The trial period begins when the previous contract has ended and ends four weeks after the date on which the employee starts work under the new contract. </w:t>
      </w:r>
    </w:p>
    <w:p w14:paraId="1E835D73" w14:textId="77777777" w:rsidR="00270654" w:rsidRPr="00DB5EAD" w:rsidRDefault="00270654" w:rsidP="00270654">
      <w:r>
        <w:t xml:space="preserve">The purpose of the trial period is to give the employee a chance to decide whether the new job is suitable </w:t>
      </w:r>
      <w:r w:rsidRPr="00DB5EAD">
        <w:t xml:space="preserve">without necessarily losing the right to a redundancy payment.  The manager should also use the trial period to assess the employee's suitability for the role and to consider what if any additional training is required.    </w:t>
      </w:r>
    </w:p>
    <w:p w14:paraId="30A4B688" w14:textId="02AF23B4" w:rsidR="00270654" w:rsidRPr="00DB5EAD" w:rsidRDefault="00270654" w:rsidP="00270654">
      <w:r w:rsidRPr="00DB5EAD">
        <w:t xml:space="preserve">The four-week trial period can be extended </w:t>
      </w:r>
      <w:r w:rsidR="001077B9" w:rsidRPr="00DB5EAD">
        <w:t xml:space="preserve">up to a maximum trial period of 3 months </w:t>
      </w:r>
      <w:r w:rsidRPr="00DB5EAD">
        <w:t xml:space="preserve">for retraining purposes by written agreement, specifying the date on which the trial period ends and sets out the employee's terms and conditions after it ends. However if the employee works beyond the end of the four week period, or the jointly agreed extended period, any redundancy entitlement will be lost because the employee will be deemed to have accepted the new employment. This will be communicated to employees when the trial of the new role is offered. </w:t>
      </w:r>
    </w:p>
    <w:p w14:paraId="39FB4A43" w14:textId="17BBFEAF" w:rsidR="00270654" w:rsidRPr="00DB5EAD" w:rsidRDefault="00270654" w:rsidP="00270654">
      <w:r w:rsidRPr="00DB5EAD">
        <w:t>Should the manager wish to end the new contract within the four weeks</w:t>
      </w:r>
      <w:r w:rsidR="000A2EE8" w:rsidRPr="00DB5EAD">
        <w:t xml:space="preserve"> or during any trial extension period</w:t>
      </w:r>
      <w:r w:rsidRPr="00DB5EAD">
        <w:t xml:space="preserve"> for a reason connected with the new job, the employee will preserve the right to a redundancy payment under the old contract. </w:t>
      </w:r>
    </w:p>
    <w:p w14:paraId="785CB16C" w14:textId="666F1FA4" w:rsidR="00270654" w:rsidRDefault="00270654" w:rsidP="00270654">
      <w:r w:rsidRPr="00DB5EAD">
        <w:t>Managers should seek advice from</w:t>
      </w:r>
      <w:r>
        <w:t xml:space="preserve"> HR Operations to ensure the </w:t>
      </w:r>
      <w:r w:rsidR="00063A5F">
        <w:t>c</w:t>
      </w:r>
      <w:r>
        <w:t xml:space="preserve">ouncil complies with its legal obligations.  Management reserves the right to make the final decision on this matter, although the views of the employee will be taken into account. </w:t>
      </w:r>
    </w:p>
    <w:p w14:paraId="7AB320B5" w14:textId="77777777" w:rsidR="00270654" w:rsidRPr="00DB5EAD" w:rsidRDefault="00270654" w:rsidP="007451F7">
      <w:pPr>
        <w:pStyle w:val="Heading2"/>
        <w:rPr>
          <w:color w:val="00A04E"/>
        </w:rPr>
      </w:pPr>
      <w:r w:rsidRPr="00DB5EAD">
        <w:rPr>
          <w:color w:val="00A04E"/>
        </w:rPr>
        <w:t>Moving to a suitable alternative post</w:t>
      </w:r>
    </w:p>
    <w:p w14:paraId="44FAAF52" w14:textId="043431A0" w:rsidR="00270654" w:rsidRPr="00DB5EAD" w:rsidRDefault="00270654" w:rsidP="00270654">
      <w:r w:rsidRPr="00DB5EAD">
        <w:t xml:space="preserve">Once an AEP employee has accepted the offer of an alternative post, the recruiting manager must advise the </w:t>
      </w:r>
      <w:r w:rsidR="00B932BD" w:rsidRPr="00DB5EAD">
        <w:t xml:space="preserve">Resourcing Team </w:t>
      </w:r>
      <w:r w:rsidRPr="00DB5EAD">
        <w:t>and submit the appropriate transfer form</w:t>
      </w:r>
      <w:r w:rsidR="00B932BD" w:rsidRPr="00DB5EAD">
        <w:t xml:space="preserve"> via the Recruitment Portal</w:t>
      </w:r>
      <w:r w:rsidRPr="00DB5EAD">
        <w:t xml:space="preserve">. </w:t>
      </w:r>
    </w:p>
    <w:p w14:paraId="6024C876" w14:textId="01F5A212" w:rsidR="00270654" w:rsidRPr="00DB5EAD" w:rsidRDefault="00270654" w:rsidP="00270654">
      <w:r w:rsidRPr="00DB5EAD">
        <w:lastRenderedPageBreak/>
        <w:t xml:space="preserve">The </w:t>
      </w:r>
      <w:r w:rsidR="00B932BD" w:rsidRPr="00DB5EAD">
        <w:t xml:space="preserve">Resourcing Team </w:t>
      </w:r>
      <w:r w:rsidRPr="00DB5EAD">
        <w:t xml:space="preserve">will issue a formal offer letter and will initiate any checks required before a start date is arranged and the transfer completed.  This may include references, health assessment and criminal records check as appropriate for the alternative role.  </w:t>
      </w:r>
    </w:p>
    <w:p w14:paraId="7E2B3161" w14:textId="499C5AA3" w:rsidR="00270654" w:rsidRPr="00DB5EAD" w:rsidRDefault="00270654" w:rsidP="00270654">
      <w:r w:rsidRPr="00DB5EAD">
        <w:t xml:space="preserve">Where applicable, pay protection will be paid in line with the </w:t>
      </w:r>
      <w:r w:rsidR="00063A5F" w:rsidRPr="00DB5EAD">
        <w:t>c</w:t>
      </w:r>
      <w:r w:rsidRPr="00DB5EAD">
        <w:t xml:space="preserve">ouncil’s Pay Protection Procedure. </w:t>
      </w:r>
      <w:r w:rsidR="00A45D2D" w:rsidRPr="00DB5EAD">
        <w:t>In cases of Alternative Employment, this provides for salary protection for a period of 12 months where an AEP employee moves to a lower grade role.</w:t>
      </w:r>
    </w:p>
    <w:p w14:paraId="13D473F3" w14:textId="1FC415E9" w:rsidR="00270654" w:rsidRPr="00270654" w:rsidRDefault="00270654" w:rsidP="00270654">
      <w:r w:rsidRPr="00DB5EAD">
        <w:t>If the suitable alternative post is for a fixed term period (</w:t>
      </w:r>
      <w:proofErr w:type="gramStart"/>
      <w:r w:rsidR="00063A5F" w:rsidRPr="00DB5EAD">
        <w:t>e.g.</w:t>
      </w:r>
      <w:proofErr w:type="gramEnd"/>
      <w:r w:rsidRPr="00DB5EAD">
        <w:t xml:space="preserve"> maternity cover) the AEP employee will be eligible to </w:t>
      </w:r>
      <w:r w:rsidR="00063A5F" w:rsidRPr="00DB5EAD">
        <w:t>re-join</w:t>
      </w:r>
      <w:r w:rsidRPr="00DB5EAD">
        <w:t xml:space="preserve"> the AEP 3 months before the end of the fixed term period or the return date of the individual they are covering for. In this case any redundancy costs remain with the original directorate, except where the receiving directorate further extends the fixed term contract when the costs will move to them.</w:t>
      </w:r>
    </w:p>
    <w:sectPr w:rsidR="00270654" w:rsidRPr="00270654" w:rsidSect="008B3E5C">
      <w:headerReference w:type="even" r:id="rId11"/>
      <w:headerReference w:type="default" r:id="rId12"/>
      <w:footerReference w:type="even" r:id="rId13"/>
      <w:footerReference w:type="default" r:id="rId14"/>
      <w:headerReference w:type="first" r:id="rId15"/>
      <w:footerReference w:type="first" r:id="rId16"/>
      <w:pgSz w:w="11906" w:h="16838" w:code="9"/>
      <w:pgMar w:top="992" w:right="1134" w:bottom="720" w:left="992"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CAB9" w14:textId="77777777" w:rsidR="00456BF4" w:rsidRDefault="00456BF4">
      <w:r>
        <w:separator/>
      </w:r>
    </w:p>
  </w:endnote>
  <w:endnote w:type="continuationSeparator" w:id="0">
    <w:p w14:paraId="4BC3A11A" w14:textId="77777777" w:rsidR="00456BF4" w:rsidRDefault="0045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073A3AA9"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3149F">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5474E225" w:rsidR="00A66B9D" w:rsidRPr="000D1581" w:rsidRDefault="000D1581" w:rsidP="000D1581">
    <w:pPr>
      <w:jc w:val="center"/>
      <w:rPr>
        <w:b/>
        <w:bCs/>
        <w:color w:val="999999"/>
        <w:sz w:val="19"/>
        <w:szCs w:val="19"/>
      </w:rPr>
    </w:pPr>
    <w:r w:rsidRPr="000D1581">
      <w:rPr>
        <w:b/>
        <w:bCs/>
        <w:color w:val="999999"/>
        <w:sz w:val="19"/>
        <w:szCs w:val="19"/>
      </w:rPr>
      <w:t>Alternative Employment Programme (AEP) 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3821" w14:textId="77777777" w:rsidR="00456BF4" w:rsidRDefault="00456BF4">
      <w:r>
        <w:separator/>
      </w:r>
    </w:p>
  </w:footnote>
  <w:footnote w:type="continuationSeparator" w:id="0">
    <w:p w14:paraId="0C60FBD8" w14:textId="77777777" w:rsidR="00456BF4" w:rsidRDefault="0045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2607" w14:textId="5226603D" w:rsidR="00A66B9D" w:rsidRDefault="00EB7F69"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40352DB4" wp14:editId="2BC24C45">
          <wp:simplePos x="0" y="0"/>
          <wp:positionH relativeFrom="margin">
            <wp:align>right</wp:align>
          </wp:positionH>
          <wp:positionV relativeFrom="paragraph">
            <wp:posOffset>58420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0969C4E9" w:rsidR="00A66B9D" w:rsidRDefault="00A66B9D" w:rsidP="000D0DFF">
    <w:pPr>
      <w:rPr>
        <w:szCs w:val="19"/>
      </w:rPr>
    </w:pPr>
  </w:p>
  <w:p w14:paraId="39B3D232" w14:textId="77777777" w:rsidR="005A41DE" w:rsidRDefault="005A41DE"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D37"/>
    <w:multiLevelType w:val="hybridMultilevel"/>
    <w:tmpl w:val="0AA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6807"/>
    <w:multiLevelType w:val="hybridMultilevel"/>
    <w:tmpl w:val="36F0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27F5B"/>
    <w:multiLevelType w:val="hybridMultilevel"/>
    <w:tmpl w:val="BFF2619C"/>
    <w:lvl w:ilvl="0" w:tplc="9C2A6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C62753"/>
    <w:multiLevelType w:val="hybridMultilevel"/>
    <w:tmpl w:val="AE7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949774">
    <w:abstractNumId w:val="2"/>
  </w:num>
  <w:num w:numId="2" w16cid:durableId="976959206">
    <w:abstractNumId w:val="1"/>
  </w:num>
  <w:num w:numId="3" w16cid:durableId="1572808259">
    <w:abstractNumId w:val="3"/>
  </w:num>
  <w:num w:numId="4" w16cid:durableId="13028029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3A5F"/>
    <w:rsid w:val="000655C3"/>
    <w:rsid w:val="0007277B"/>
    <w:rsid w:val="00072D47"/>
    <w:rsid w:val="000A2AD3"/>
    <w:rsid w:val="000A2EE8"/>
    <w:rsid w:val="000B6949"/>
    <w:rsid w:val="000B69A7"/>
    <w:rsid w:val="000B712A"/>
    <w:rsid w:val="000C1774"/>
    <w:rsid w:val="000C2BAA"/>
    <w:rsid w:val="000C5582"/>
    <w:rsid w:val="000C62F0"/>
    <w:rsid w:val="000D0DFF"/>
    <w:rsid w:val="000D1581"/>
    <w:rsid w:val="000D2309"/>
    <w:rsid w:val="000E0A79"/>
    <w:rsid w:val="000E2C35"/>
    <w:rsid w:val="000E32BD"/>
    <w:rsid w:val="000E549B"/>
    <w:rsid w:val="000E5533"/>
    <w:rsid w:val="000E79FD"/>
    <w:rsid w:val="000F0081"/>
    <w:rsid w:val="000F0209"/>
    <w:rsid w:val="000F31FE"/>
    <w:rsid w:val="000F65D9"/>
    <w:rsid w:val="000F6F93"/>
    <w:rsid w:val="001023E5"/>
    <w:rsid w:val="001068B7"/>
    <w:rsid w:val="001077B9"/>
    <w:rsid w:val="00117014"/>
    <w:rsid w:val="00135432"/>
    <w:rsid w:val="0014359E"/>
    <w:rsid w:val="00144743"/>
    <w:rsid w:val="00144E71"/>
    <w:rsid w:val="00157B74"/>
    <w:rsid w:val="00161CDF"/>
    <w:rsid w:val="00170CE1"/>
    <w:rsid w:val="001715F3"/>
    <w:rsid w:val="001740CF"/>
    <w:rsid w:val="00185317"/>
    <w:rsid w:val="00192267"/>
    <w:rsid w:val="00196EB5"/>
    <w:rsid w:val="001A0858"/>
    <w:rsid w:val="001A28C4"/>
    <w:rsid w:val="001A2B01"/>
    <w:rsid w:val="001A6C88"/>
    <w:rsid w:val="001B16AB"/>
    <w:rsid w:val="001B2021"/>
    <w:rsid w:val="001B625A"/>
    <w:rsid w:val="001B7220"/>
    <w:rsid w:val="001C209C"/>
    <w:rsid w:val="001C3023"/>
    <w:rsid w:val="001C7466"/>
    <w:rsid w:val="001D0693"/>
    <w:rsid w:val="001D3B54"/>
    <w:rsid w:val="001D7BF9"/>
    <w:rsid w:val="001E3959"/>
    <w:rsid w:val="001E5DBA"/>
    <w:rsid w:val="001F1C3B"/>
    <w:rsid w:val="001F4A54"/>
    <w:rsid w:val="00204386"/>
    <w:rsid w:val="00205D1F"/>
    <w:rsid w:val="00206ABF"/>
    <w:rsid w:val="00210389"/>
    <w:rsid w:val="00210AB0"/>
    <w:rsid w:val="002208DF"/>
    <w:rsid w:val="00221E28"/>
    <w:rsid w:val="00224593"/>
    <w:rsid w:val="00225128"/>
    <w:rsid w:val="00226EC4"/>
    <w:rsid w:val="002279EF"/>
    <w:rsid w:val="002300F9"/>
    <w:rsid w:val="00230D2F"/>
    <w:rsid w:val="0023224B"/>
    <w:rsid w:val="002322B3"/>
    <w:rsid w:val="00236C5F"/>
    <w:rsid w:val="00242986"/>
    <w:rsid w:val="0025155F"/>
    <w:rsid w:val="00257439"/>
    <w:rsid w:val="002576D5"/>
    <w:rsid w:val="00262990"/>
    <w:rsid w:val="002630D4"/>
    <w:rsid w:val="00265789"/>
    <w:rsid w:val="00270654"/>
    <w:rsid w:val="002753E6"/>
    <w:rsid w:val="00275F83"/>
    <w:rsid w:val="00277FC0"/>
    <w:rsid w:val="00285D1F"/>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17D39"/>
    <w:rsid w:val="00340066"/>
    <w:rsid w:val="0034154E"/>
    <w:rsid w:val="00345F8A"/>
    <w:rsid w:val="00347E11"/>
    <w:rsid w:val="00352DC9"/>
    <w:rsid w:val="003536F2"/>
    <w:rsid w:val="00355EF8"/>
    <w:rsid w:val="00357CAC"/>
    <w:rsid w:val="00361F2C"/>
    <w:rsid w:val="0036212B"/>
    <w:rsid w:val="00362ECE"/>
    <w:rsid w:val="00366914"/>
    <w:rsid w:val="00373C28"/>
    <w:rsid w:val="00374222"/>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4B2D"/>
    <w:rsid w:val="003F6A3E"/>
    <w:rsid w:val="004021D3"/>
    <w:rsid w:val="00410B27"/>
    <w:rsid w:val="00413E8D"/>
    <w:rsid w:val="004201DA"/>
    <w:rsid w:val="004253EA"/>
    <w:rsid w:val="00425DC7"/>
    <w:rsid w:val="004263CF"/>
    <w:rsid w:val="00426E7D"/>
    <w:rsid w:val="00427035"/>
    <w:rsid w:val="004459E2"/>
    <w:rsid w:val="004553D8"/>
    <w:rsid w:val="00456BF4"/>
    <w:rsid w:val="004600CD"/>
    <w:rsid w:val="004740ED"/>
    <w:rsid w:val="00487B66"/>
    <w:rsid w:val="004913BD"/>
    <w:rsid w:val="00492A5D"/>
    <w:rsid w:val="004A1D7E"/>
    <w:rsid w:val="004A632C"/>
    <w:rsid w:val="004A6FF0"/>
    <w:rsid w:val="004B0EBD"/>
    <w:rsid w:val="004B1516"/>
    <w:rsid w:val="004B1FA1"/>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06592"/>
    <w:rsid w:val="00523C36"/>
    <w:rsid w:val="00532349"/>
    <w:rsid w:val="00534139"/>
    <w:rsid w:val="00540D1D"/>
    <w:rsid w:val="00541565"/>
    <w:rsid w:val="00544CCB"/>
    <w:rsid w:val="005464C2"/>
    <w:rsid w:val="00546F07"/>
    <w:rsid w:val="00547376"/>
    <w:rsid w:val="005536FF"/>
    <w:rsid w:val="00555AB3"/>
    <w:rsid w:val="00566707"/>
    <w:rsid w:val="00572773"/>
    <w:rsid w:val="00573C11"/>
    <w:rsid w:val="00580A36"/>
    <w:rsid w:val="0058122A"/>
    <w:rsid w:val="0058330C"/>
    <w:rsid w:val="00593EDE"/>
    <w:rsid w:val="00595022"/>
    <w:rsid w:val="005A2F69"/>
    <w:rsid w:val="005A41DE"/>
    <w:rsid w:val="005A552F"/>
    <w:rsid w:val="005B1100"/>
    <w:rsid w:val="005D0D28"/>
    <w:rsid w:val="005D2708"/>
    <w:rsid w:val="005D3D9B"/>
    <w:rsid w:val="005D7111"/>
    <w:rsid w:val="005E71CC"/>
    <w:rsid w:val="005E7C71"/>
    <w:rsid w:val="005F0ACA"/>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D7396"/>
    <w:rsid w:val="006F0F6F"/>
    <w:rsid w:val="00701A67"/>
    <w:rsid w:val="00705CD3"/>
    <w:rsid w:val="007074BD"/>
    <w:rsid w:val="0070771E"/>
    <w:rsid w:val="0071194E"/>
    <w:rsid w:val="007138EE"/>
    <w:rsid w:val="007160BE"/>
    <w:rsid w:val="00717388"/>
    <w:rsid w:val="0072067F"/>
    <w:rsid w:val="007257C5"/>
    <w:rsid w:val="00726EF2"/>
    <w:rsid w:val="00727705"/>
    <w:rsid w:val="007340FB"/>
    <w:rsid w:val="007352D9"/>
    <w:rsid w:val="007416D2"/>
    <w:rsid w:val="007450CE"/>
    <w:rsid w:val="007451F7"/>
    <w:rsid w:val="00746AD7"/>
    <w:rsid w:val="00747A59"/>
    <w:rsid w:val="00754642"/>
    <w:rsid w:val="00755164"/>
    <w:rsid w:val="00760636"/>
    <w:rsid w:val="00762E65"/>
    <w:rsid w:val="00770D7F"/>
    <w:rsid w:val="0077113D"/>
    <w:rsid w:val="0077593A"/>
    <w:rsid w:val="00784072"/>
    <w:rsid w:val="007B32FB"/>
    <w:rsid w:val="007B45CE"/>
    <w:rsid w:val="007B5F9A"/>
    <w:rsid w:val="007C6A03"/>
    <w:rsid w:val="007D1565"/>
    <w:rsid w:val="007D33BD"/>
    <w:rsid w:val="007E02C2"/>
    <w:rsid w:val="007E1BBC"/>
    <w:rsid w:val="007E2DA1"/>
    <w:rsid w:val="007E3193"/>
    <w:rsid w:val="007F0F4C"/>
    <w:rsid w:val="007F6EFB"/>
    <w:rsid w:val="00800E47"/>
    <w:rsid w:val="00806300"/>
    <w:rsid w:val="008139D7"/>
    <w:rsid w:val="008170FF"/>
    <w:rsid w:val="00826445"/>
    <w:rsid w:val="0082780B"/>
    <w:rsid w:val="008278C0"/>
    <w:rsid w:val="00836C10"/>
    <w:rsid w:val="00837AB1"/>
    <w:rsid w:val="00837D51"/>
    <w:rsid w:val="00844464"/>
    <w:rsid w:val="008526B4"/>
    <w:rsid w:val="00864A0C"/>
    <w:rsid w:val="008659FA"/>
    <w:rsid w:val="00867FD0"/>
    <w:rsid w:val="00873FD9"/>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B3E5C"/>
    <w:rsid w:val="008C3D45"/>
    <w:rsid w:val="008D1740"/>
    <w:rsid w:val="008D1D97"/>
    <w:rsid w:val="008E3F1F"/>
    <w:rsid w:val="008E4806"/>
    <w:rsid w:val="008E6AF6"/>
    <w:rsid w:val="008F2468"/>
    <w:rsid w:val="008F3B2D"/>
    <w:rsid w:val="008F79A0"/>
    <w:rsid w:val="00903C17"/>
    <w:rsid w:val="009054E6"/>
    <w:rsid w:val="009120E6"/>
    <w:rsid w:val="009157E8"/>
    <w:rsid w:val="00920CD7"/>
    <w:rsid w:val="009422C2"/>
    <w:rsid w:val="00942F3F"/>
    <w:rsid w:val="00944FAA"/>
    <w:rsid w:val="00944FC0"/>
    <w:rsid w:val="0095010B"/>
    <w:rsid w:val="00957840"/>
    <w:rsid w:val="00962033"/>
    <w:rsid w:val="00965224"/>
    <w:rsid w:val="009729A3"/>
    <w:rsid w:val="00972FA9"/>
    <w:rsid w:val="00981AB3"/>
    <w:rsid w:val="00991987"/>
    <w:rsid w:val="00993A6F"/>
    <w:rsid w:val="00997FB0"/>
    <w:rsid w:val="009A4F56"/>
    <w:rsid w:val="009B59E9"/>
    <w:rsid w:val="009C192A"/>
    <w:rsid w:val="009C523D"/>
    <w:rsid w:val="009E2CC5"/>
    <w:rsid w:val="00A00097"/>
    <w:rsid w:val="00A0418C"/>
    <w:rsid w:val="00A0799E"/>
    <w:rsid w:val="00A1159B"/>
    <w:rsid w:val="00A1369A"/>
    <w:rsid w:val="00A2477C"/>
    <w:rsid w:val="00A24AC9"/>
    <w:rsid w:val="00A2539E"/>
    <w:rsid w:val="00A30655"/>
    <w:rsid w:val="00A330E1"/>
    <w:rsid w:val="00A45D2D"/>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396A"/>
    <w:rsid w:val="00AC45B8"/>
    <w:rsid w:val="00AC6783"/>
    <w:rsid w:val="00AD2FB4"/>
    <w:rsid w:val="00AD5A2A"/>
    <w:rsid w:val="00AE6647"/>
    <w:rsid w:val="00AE6E9B"/>
    <w:rsid w:val="00AF1399"/>
    <w:rsid w:val="00B0040E"/>
    <w:rsid w:val="00B048F4"/>
    <w:rsid w:val="00B104CE"/>
    <w:rsid w:val="00B11C2B"/>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32BD"/>
    <w:rsid w:val="00B9708D"/>
    <w:rsid w:val="00BA237E"/>
    <w:rsid w:val="00BA255E"/>
    <w:rsid w:val="00BA2E7E"/>
    <w:rsid w:val="00BA49E5"/>
    <w:rsid w:val="00BA4EB6"/>
    <w:rsid w:val="00BB2CE8"/>
    <w:rsid w:val="00BB7B19"/>
    <w:rsid w:val="00BC098E"/>
    <w:rsid w:val="00BC153B"/>
    <w:rsid w:val="00BC21F4"/>
    <w:rsid w:val="00BC35A6"/>
    <w:rsid w:val="00BC6F51"/>
    <w:rsid w:val="00BD20F8"/>
    <w:rsid w:val="00BD2400"/>
    <w:rsid w:val="00BD3892"/>
    <w:rsid w:val="00BE086A"/>
    <w:rsid w:val="00BE419D"/>
    <w:rsid w:val="00BE71E6"/>
    <w:rsid w:val="00C03071"/>
    <w:rsid w:val="00C04261"/>
    <w:rsid w:val="00C13C69"/>
    <w:rsid w:val="00C13F95"/>
    <w:rsid w:val="00C175AB"/>
    <w:rsid w:val="00C2249C"/>
    <w:rsid w:val="00C264BB"/>
    <w:rsid w:val="00C355D1"/>
    <w:rsid w:val="00C41CA7"/>
    <w:rsid w:val="00C462EE"/>
    <w:rsid w:val="00C53CB7"/>
    <w:rsid w:val="00C62210"/>
    <w:rsid w:val="00C677A3"/>
    <w:rsid w:val="00C708E9"/>
    <w:rsid w:val="00C73FCC"/>
    <w:rsid w:val="00C7453D"/>
    <w:rsid w:val="00C749AC"/>
    <w:rsid w:val="00C8035F"/>
    <w:rsid w:val="00C94AEC"/>
    <w:rsid w:val="00CA07B7"/>
    <w:rsid w:val="00CA4941"/>
    <w:rsid w:val="00CC0379"/>
    <w:rsid w:val="00CC63A7"/>
    <w:rsid w:val="00CC68EF"/>
    <w:rsid w:val="00CD1725"/>
    <w:rsid w:val="00CE1805"/>
    <w:rsid w:val="00CE20F3"/>
    <w:rsid w:val="00CE221C"/>
    <w:rsid w:val="00CF4C18"/>
    <w:rsid w:val="00CF4C80"/>
    <w:rsid w:val="00CF6C49"/>
    <w:rsid w:val="00D00319"/>
    <w:rsid w:val="00D05B05"/>
    <w:rsid w:val="00D077D9"/>
    <w:rsid w:val="00D1394C"/>
    <w:rsid w:val="00D3149F"/>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590"/>
    <w:rsid w:val="00DA7B81"/>
    <w:rsid w:val="00DB5EAD"/>
    <w:rsid w:val="00DC396A"/>
    <w:rsid w:val="00DD4E1A"/>
    <w:rsid w:val="00DE060E"/>
    <w:rsid w:val="00DE62A0"/>
    <w:rsid w:val="00DF4AB0"/>
    <w:rsid w:val="00DF4DA7"/>
    <w:rsid w:val="00E04EB4"/>
    <w:rsid w:val="00E053AA"/>
    <w:rsid w:val="00E1073A"/>
    <w:rsid w:val="00E12B8F"/>
    <w:rsid w:val="00E12C8A"/>
    <w:rsid w:val="00E14260"/>
    <w:rsid w:val="00E15F46"/>
    <w:rsid w:val="00E21865"/>
    <w:rsid w:val="00E32CF6"/>
    <w:rsid w:val="00E36C2C"/>
    <w:rsid w:val="00E567A7"/>
    <w:rsid w:val="00E630B3"/>
    <w:rsid w:val="00E65945"/>
    <w:rsid w:val="00E70BAD"/>
    <w:rsid w:val="00E7451C"/>
    <w:rsid w:val="00E811C9"/>
    <w:rsid w:val="00E858DF"/>
    <w:rsid w:val="00E917A0"/>
    <w:rsid w:val="00E978FB"/>
    <w:rsid w:val="00EA0069"/>
    <w:rsid w:val="00EA14A5"/>
    <w:rsid w:val="00EB16FA"/>
    <w:rsid w:val="00EB7F69"/>
    <w:rsid w:val="00EC35EF"/>
    <w:rsid w:val="00EC4A4A"/>
    <w:rsid w:val="00EC56E0"/>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2529"/>
    <w:rsid w:val="00FC40A5"/>
    <w:rsid w:val="00FD0EA7"/>
    <w:rsid w:val="00FD441A"/>
    <w:rsid w:val="00FD47F0"/>
    <w:rsid w:val="00FD4841"/>
    <w:rsid w:val="00FD4BBE"/>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C"/>
    <w:pPr>
      <w:spacing w:before="240"/>
    </w:pPr>
    <w:rPr>
      <w:rFonts w:ascii="Arial" w:hAnsi="Arial"/>
      <w:sz w:val="24"/>
      <w:szCs w:val="24"/>
    </w:rPr>
  </w:style>
  <w:style w:type="paragraph" w:styleId="Heading1">
    <w:name w:val="heading 1"/>
    <w:basedOn w:val="Normal"/>
    <w:next w:val="Normal"/>
    <w:link w:val="Heading1Char"/>
    <w:qFormat/>
    <w:rsid w:val="008B3E5C"/>
    <w:pPr>
      <w:keepNext/>
      <w:outlineLvl w:val="0"/>
    </w:pPr>
    <w:rPr>
      <w:rFonts w:ascii="Arial Black" w:hAnsi="Arial Black" w:cs="Arial"/>
      <w:b/>
      <w:bCs/>
      <w:color w:val="1F847A"/>
      <w:kern w:val="32"/>
      <w:sz w:val="44"/>
      <w:szCs w:val="32"/>
    </w:rPr>
  </w:style>
  <w:style w:type="paragraph" w:styleId="Heading2">
    <w:name w:val="heading 2"/>
    <w:basedOn w:val="Normal"/>
    <w:next w:val="Normal"/>
    <w:qFormat/>
    <w:rsid w:val="005F0ACA"/>
    <w:pPr>
      <w:keepNext/>
      <w:outlineLvl w:val="1"/>
    </w:pPr>
    <w:rPr>
      <w:rFonts w:ascii="Arial Black" w:hAnsi="Arial Black" w:cs="Arial"/>
      <w:b/>
      <w:bCs/>
      <w:iCs/>
      <w:color w:val="1F847A"/>
      <w:sz w:val="28"/>
      <w:szCs w:val="28"/>
    </w:rPr>
  </w:style>
  <w:style w:type="paragraph" w:styleId="Heading3">
    <w:name w:val="heading 3"/>
    <w:basedOn w:val="Normal"/>
    <w:next w:val="Normal"/>
    <w:qFormat/>
    <w:rsid w:val="0077593A"/>
    <w:pPr>
      <w:keepNext/>
      <w:outlineLvl w:val="2"/>
    </w:pPr>
    <w:rPr>
      <w:rFonts w:ascii="Arial Black" w:hAnsi="Arial Black" w:cs="Arial"/>
      <w:b/>
      <w:bCs/>
      <w:color w:val="1F84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B3E5C"/>
    <w:rPr>
      <w:rFonts w:ascii="Arial Black" w:hAnsi="Arial Black" w:cs="Arial"/>
      <w:b/>
      <w:bCs/>
      <w:color w:val="1F847A"/>
      <w:kern w:val="32"/>
      <w:sz w:val="44"/>
      <w:szCs w:val="32"/>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5F0ACA"/>
    <w:pPr>
      <w:ind w:left="720"/>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StyleBackground1CenteredLinespacingMultiple115li">
    <w:name w:val="Style Background 1 Centered Line spacing:  Multiple 1.15 li"/>
    <w:rsid w:val="0096522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534139"/>
    <w:pPr>
      <w:spacing w:line="276" w:lineRule="auto"/>
      <w:jc w:val="center"/>
    </w:pPr>
    <w:rPr>
      <w:rFonts w:ascii="Arial" w:hAnsi="Arial"/>
    </w:rPr>
  </w:style>
  <w:style w:type="character" w:customStyle="1" w:styleId="StyleBoldBackground1">
    <w:name w:val="Style Bold Background 1"/>
    <w:basedOn w:val="DefaultParagraphFont"/>
    <w:rsid w:val="00425DC7"/>
    <w:rPr>
      <w:rFonts w:ascii="Arial" w:hAnsi="Arial"/>
      <w:b/>
      <w:bCs/>
      <w:color w:val="FFFFFF" w:themeColor="background1"/>
      <w:sz w:val="24"/>
    </w:rPr>
  </w:style>
  <w:style w:type="paragraph" w:customStyle="1" w:styleId="Style12ptBoldBackground1">
    <w:name w:val="Style 12 pt Bold Background 1"/>
    <w:basedOn w:val="Normal"/>
    <w:rsid w:val="008E3F1F"/>
    <w:pPr>
      <w:spacing w:before="0" w:line="264" w:lineRule="auto"/>
    </w:pPr>
    <w:rPr>
      <w:b/>
      <w:color w:val="FFFFFF" w:themeColor="background1"/>
    </w:rPr>
  </w:style>
  <w:style w:type="character" w:styleId="UnresolvedMention">
    <w:name w:val="Unresolved Mention"/>
    <w:basedOn w:val="DefaultParagraphFont"/>
    <w:uiPriority w:val="99"/>
    <w:semiHidden/>
    <w:unhideWhenUsed/>
    <w:rsid w:val="00C13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erland.gov.uk/your-council/jo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mbria.sharepoint.com/sites/ODWTCommunications" TargetMode="External"/><Relationship Id="rId4" Type="http://schemas.openxmlformats.org/officeDocument/2006/relationships/settings" Target="settings.xml"/><Relationship Id="rId9" Type="http://schemas.openxmlformats.org/officeDocument/2006/relationships/hyperlink" Target="https://www.cumberland.gov.uk/schools-and-education/school-job-vacan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6204-CAA8-47A8-80F6-E5AC11B6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13489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Brown, Alastair</cp:lastModifiedBy>
  <cp:revision>6</cp:revision>
  <cp:lastPrinted>2016-05-16T10:45:00Z</cp:lastPrinted>
  <dcterms:created xsi:type="dcterms:W3CDTF">2024-03-08T09:55:00Z</dcterms:created>
  <dcterms:modified xsi:type="dcterms:W3CDTF">2024-03-15T09:33:00Z</dcterms:modified>
</cp:coreProperties>
</file>