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AF445" w14:textId="77777777" w:rsidR="0003750E" w:rsidRDefault="0003750E" w:rsidP="0003750E">
      <w:r>
        <w:rPr>
          <w:noProof/>
        </w:rPr>
        <w:drawing>
          <wp:anchor distT="0" distB="0" distL="114300" distR="114300" simplePos="0" relativeHeight="251660288" behindDoc="1" locked="0" layoutInCell="1" allowOverlap="1" wp14:anchorId="211A90AC" wp14:editId="183890F2">
            <wp:simplePos x="0" y="0"/>
            <wp:positionH relativeFrom="column">
              <wp:posOffset>2088515</wp:posOffset>
            </wp:positionH>
            <wp:positionV relativeFrom="paragraph">
              <wp:posOffset>48895</wp:posOffset>
            </wp:positionV>
            <wp:extent cx="4641850" cy="3290557"/>
            <wp:effectExtent l="0" t="0" r="6350" b="571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845" cy="32955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9EE29" w14:textId="77777777" w:rsidR="0003750E" w:rsidRDefault="0003750E" w:rsidP="0003750E"/>
    <w:p w14:paraId="7AA24E5E" w14:textId="77777777" w:rsidR="0003750E" w:rsidRDefault="0003750E" w:rsidP="0003750E">
      <w:r>
        <w:rPr>
          <w:rFonts w:cs="Arial"/>
          <w:bCs/>
          <w:noProof/>
          <w:sz w:val="24"/>
        </w:rPr>
        <mc:AlternateContent>
          <mc:Choice Requires="wps">
            <w:drawing>
              <wp:anchor distT="0" distB="0" distL="114300" distR="114300" simplePos="0" relativeHeight="251661312" behindDoc="0" locked="0" layoutInCell="1" allowOverlap="1" wp14:anchorId="38A0274B" wp14:editId="73103425">
                <wp:simplePos x="0" y="0"/>
                <wp:positionH relativeFrom="column">
                  <wp:posOffset>2336800</wp:posOffset>
                </wp:positionH>
                <wp:positionV relativeFrom="paragraph">
                  <wp:posOffset>17145</wp:posOffset>
                </wp:positionV>
                <wp:extent cx="1714500" cy="1025525"/>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6B6E3" w14:textId="7A63ED88" w:rsidR="0003750E" w:rsidRPr="00E36C2C" w:rsidRDefault="0003750E" w:rsidP="0003750E">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sidR="009C110A">
                              <w:rPr>
                                <w:rFonts w:ascii="Arial Black" w:hAnsi="Arial Black" w:cs="Arial"/>
                                <w:b/>
                                <w:color w:val="FFFFFF"/>
                                <w:sz w:val="36"/>
                                <w:szCs w:val="36"/>
                              </w:rPr>
                              <w:t>Guidance</w:t>
                            </w:r>
                          </w:p>
                          <w:p w14:paraId="7ED30870" w14:textId="77777777" w:rsidR="0003750E" w:rsidRPr="00E36C2C" w:rsidRDefault="0003750E" w:rsidP="0003750E">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A0274B" id="_x0000_t202" coordsize="21600,21600" o:spt="202" path="m,l,21600r21600,l21600,xe">
                <v:stroke joinstyle="miter"/>
                <v:path gradientshapeok="t" o:connecttype="rect"/>
              </v:shapetype>
              <v:shape id="Text Box 4" o:spid="_x0000_s1026" type="#_x0000_t202" style="position:absolute;margin-left:184pt;margin-top:1.35pt;width:135pt;height:80.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" filled="f" stroked="f">
                <v:textbox style="mso-fit-shape-to-text:t">
                  <w:txbxContent>
                    <w:p w14:paraId="67F6B6E3" w14:textId="7A63ED88" w:rsidR="0003750E" w:rsidRPr="00E36C2C" w:rsidRDefault="0003750E" w:rsidP="0003750E">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sidR="009C110A">
                        <w:rPr>
                          <w:rFonts w:ascii="Arial Black" w:hAnsi="Arial Black" w:cs="Arial"/>
                          <w:b/>
                          <w:color w:val="FFFFFF"/>
                          <w:sz w:val="36"/>
                          <w:szCs w:val="36"/>
                        </w:rPr>
                        <w:t>Guidance</w:t>
                      </w:r>
                    </w:p>
                    <w:p w14:paraId="7ED30870" w14:textId="77777777" w:rsidR="0003750E" w:rsidRPr="00E36C2C" w:rsidRDefault="0003750E" w:rsidP="0003750E">
                      <w:pPr>
                        <w:rPr>
                          <w:color w:val="FFFFFF"/>
                          <w:sz w:val="36"/>
                          <w:szCs w:val="36"/>
                        </w:rPr>
                      </w:pPr>
                    </w:p>
                  </w:txbxContent>
                </v:textbox>
              </v:shape>
            </w:pict>
          </mc:Fallback>
        </mc:AlternateContent>
      </w:r>
    </w:p>
    <w:p w14:paraId="3FA56430" w14:textId="77777777" w:rsidR="0003750E" w:rsidRDefault="0003750E" w:rsidP="0003750E"/>
    <w:p w14:paraId="47014F8B" w14:textId="3109B942" w:rsidR="0003750E" w:rsidRDefault="0003750E" w:rsidP="0003750E"/>
    <w:p w14:paraId="185553A0" w14:textId="7D66A006" w:rsidR="0003750E" w:rsidRDefault="00127096" w:rsidP="0003750E">
      <w:r>
        <w:rPr>
          <w:noProof/>
        </w:rPr>
        <mc:AlternateContent>
          <mc:Choice Requires="wps">
            <w:drawing>
              <wp:anchor distT="0" distB="0" distL="114300" distR="114300" simplePos="0" relativeHeight="251659264" behindDoc="0" locked="0" layoutInCell="1" allowOverlap="1" wp14:anchorId="4FAD6FB8" wp14:editId="53C5B8CF">
                <wp:simplePos x="0" y="0"/>
                <wp:positionH relativeFrom="margin">
                  <wp:posOffset>3358515</wp:posOffset>
                </wp:positionH>
                <wp:positionV relativeFrom="paragraph">
                  <wp:posOffset>134620</wp:posOffset>
                </wp:positionV>
                <wp:extent cx="3251200" cy="22606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260600"/>
                        </a:xfrm>
                        <a:prstGeom prst="rect">
                          <a:avLst/>
                        </a:prstGeom>
                        <a:noFill/>
                        <a:ln w="9525">
                          <a:noFill/>
                          <a:miter lim="800000"/>
                          <a:headEnd/>
                          <a:tailEnd/>
                        </a:ln>
                      </wps:spPr>
                      <wps:txbx>
                        <w:txbxContent>
                          <w:p w14:paraId="2677ACC3" w14:textId="77777777" w:rsidR="009C110A" w:rsidRDefault="00127096" w:rsidP="009C110A">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 </w:t>
                            </w:r>
                          </w:p>
                          <w:p w14:paraId="177B3880" w14:textId="6F6134E6" w:rsidR="009C110A" w:rsidRDefault="009C110A" w:rsidP="009C110A">
                            <w:pPr>
                              <w:spacing w:line="240" w:lineRule="auto"/>
                              <w:jc w:val="center"/>
                              <w:rPr>
                                <w:rFonts w:ascii="Arial Black" w:hAnsi="Arial Black" w:cs="Arial"/>
                                <w:b/>
                                <w:color w:val="31849B"/>
                                <w:sz w:val="48"/>
                                <w:szCs w:val="48"/>
                              </w:rPr>
                            </w:pPr>
                            <w:r>
                              <w:rPr>
                                <w:rFonts w:ascii="Arial Black" w:hAnsi="Arial Black" w:cs="Arial"/>
                                <w:b/>
                                <w:color w:val="31849B"/>
                                <w:sz w:val="48"/>
                                <w:szCs w:val="48"/>
                              </w:rPr>
                              <w:t>Appendix 4</w:t>
                            </w:r>
                          </w:p>
                          <w:p w14:paraId="3D25EF61" w14:textId="582B7D85" w:rsidR="009C110A" w:rsidRDefault="00127096" w:rsidP="009C110A">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COVID-19 </w:t>
                            </w:r>
                          </w:p>
                          <w:p w14:paraId="57FDD9F9" w14:textId="77777777" w:rsidR="0003750E" w:rsidRDefault="0003750E" w:rsidP="00037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AD6FB8" id="Text Box 3" o:spid="_x0000_s1027" type="#_x0000_t202" style="position:absolute;margin-left:264.45pt;margin-top:10.6pt;width:256pt;height:1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" filled="f" stroked="f">
                <v:textbox>
                  <w:txbxContent>
                    <w:p w14:paraId="2677ACC3" w14:textId="77777777" w:rsidR="009C110A" w:rsidRDefault="00127096" w:rsidP="009C110A">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 </w:t>
                      </w:r>
                    </w:p>
                    <w:p w14:paraId="177B3880" w14:textId="6F6134E6" w:rsidR="009C110A" w:rsidRDefault="009C110A" w:rsidP="009C110A">
                      <w:pPr>
                        <w:spacing w:line="240" w:lineRule="auto"/>
                        <w:jc w:val="center"/>
                        <w:rPr>
                          <w:rFonts w:ascii="Arial Black" w:hAnsi="Arial Black" w:cs="Arial"/>
                          <w:b/>
                          <w:color w:val="31849B"/>
                          <w:sz w:val="48"/>
                          <w:szCs w:val="48"/>
                        </w:rPr>
                      </w:pPr>
                      <w:r>
                        <w:rPr>
                          <w:rFonts w:ascii="Arial Black" w:hAnsi="Arial Black" w:cs="Arial"/>
                          <w:b/>
                          <w:color w:val="31849B"/>
                          <w:sz w:val="48"/>
                          <w:szCs w:val="48"/>
                        </w:rPr>
                        <w:t>Appendix 4</w:t>
                      </w:r>
                    </w:p>
                    <w:p w14:paraId="3D25EF61" w14:textId="582B7D85" w:rsidR="009C110A" w:rsidRDefault="00127096" w:rsidP="009C110A">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COVID-19 </w:t>
                      </w:r>
                    </w:p>
                    <w:p w14:paraId="57FDD9F9" w14:textId="77777777" w:rsidR="0003750E" w:rsidRDefault="0003750E" w:rsidP="0003750E"/>
                  </w:txbxContent>
                </v:textbox>
                <w10:wrap anchorx="margin"/>
              </v:shape>
            </w:pict>
          </mc:Fallback>
        </mc:AlternateContent>
      </w:r>
    </w:p>
    <w:p w14:paraId="1C75E995" w14:textId="19F59520" w:rsidR="0003750E" w:rsidRDefault="0003750E" w:rsidP="0003750E"/>
    <w:p w14:paraId="728EC567" w14:textId="73E092DA" w:rsidR="0003750E" w:rsidRDefault="0003750E" w:rsidP="0003750E"/>
    <w:p w14:paraId="6A37FD2C" w14:textId="77777777" w:rsidR="0003750E" w:rsidRDefault="0003750E" w:rsidP="0003750E"/>
    <w:p w14:paraId="00F86B76" w14:textId="77777777" w:rsidR="0003750E" w:rsidRDefault="0003750E" w:rsidP="0003750E">
      <w:pPr>
        <w:pStyle w:val="SubHead"/>
        <w:rPr>
          <w:rFonts w:ascii="Arial" w:hAnsi="Arial" w:cs="Arial"/>
          <w:bCs/>
          <w:sz w:val="24"/>
        </w:rPr>
      </w:pPr>
    </w:p>
    <w:p w14:paraId="553F459D" w14:textId="77777777" w:rsidR="0003750E" w:rsidRDefault="0003750E" w:rsidP="0003750E">
      <w:pPr>
        <w:pStyle w:val="SubHead"/>
        <w:rPr>
          <w:rFonts w:ascii="Arial" w:hAnsi="Arial" w:cs="Arial"/>
          <w:bCs/>
          <w:sz w:val="24"/>
        </w:rPr>
      </w:pPr>
    </w:p>
    <w:p w14:paraId="775E7744" w14:textId="77777777" w:rsidR="0003750E" w:rsidRDefault="0003750E" w:rsidP="0003750E">
      <w:pPr>
        <w:pStyle w:val="SubHead"/>
        <w:rPr>
          <w:rFonts w:ascii="Arial" w:hAnsi="Arial" w:cs="Arial"/>
          <w:bCs/>
          <w:sz w:val="24"/>
        </w:rPr>
      </w:pPr>
    </w:p>
    <w:p w14:paraId="7E127232" w14:textId="77777777" w:rsidR="0003750E" w:rsidRDefault="0003750E" w:rsidP="0003750E">
      <w:pPr>
        <w:pStyle w:val="SubHead"/>
        <w:rPr>
          <w:rFonts w:ascii="Arial" w:hAnsi="Arial" w:cs="Arial"/>
          <w:bCs/>
          <w:sz w:val="24"/>
        </w:rPr>
      </w:pPr>
    </w:p>
    <w:p w14:paraId="24B3EA2B" w14:textId="77777777" w:rsidR="0003750E" w:rsidRDefault="0003750E" w:rsidP="0003750E">
      <w:pPr>
        <w:pStyle w:val="SubHead"/>
        <w:rPr>
          <w:rFonts w:ascii="Arial" w:hAnsi="Arial" w:cs="Arial"/>
          <w:bCs/>
          <w:sz w:val="24"/>
        </w:rPr>
      </w:pPr>
    </w:p>
    <w:p w14:paraId="252B2CCB" w14:textId="77777777" w:rsidR="0003750E" w:rsidRDefault="0003750E" w:rsidP="0003750E">
      <w:pPr>
        <w:pStyle w:val="SubHead"/>
        <w:tabs>
          <w:tab w:val="left" w:pos="1845"/>
        </w:tabs>
        <w:rPr>
          <w:rFonts w:ascii="Arial" w:hAnsi="Arial" w:cs="Arial"/>
          <w:bCs/>
          <w:sz w:val="24"/>
        </w:rPr>
      </w:pPr>
      <w:r>
        <w:rPr>
          <w:rFonts w:ascii="Arial" w:hAnsi="Arial" w:cs="Arial"/>
          <w:bCs/>
          <w:sz w:val="24"/>
        </w:rPr>
        <w:tab/>
      </w:r>
    </w:p>
    <w:p w14:paraId="046231EE" w14:textId="77777777" w:rsidR="0003750E" w:rsidRDefault="0003750E" w:rsidP="0003750E">
      <w:pPr>
        <w:pStyle w:val="SubHead"/>
        <w:rPr>
          <w:rFonts w:ascii="Arial" w:hAnsi="Arial" w:cs="Arial"/>
          <w:bCs/>
          <w:sz w:val="24"/>
        </w:rPr>
      </w:pPr>
    </w:p>
    <w:p w14:paraId="46222431" w14:textId="77777777" w:rsidR="0003750E" w:rsidRDefault="0003750E" w:rsidP="0003750E">
      <w:pPr>
        <w:pStyle w:val="SubHead"/>
        <w:rPr>
          <w:rFonts w:ascii="Arial" w:hAnsi="Arial" w:cs="Arial"/>
          <w:bCs/>
          <w:sz w:val="24"/>
        </w:rPr>
      </w:pPr>
    </w:p>
    <w:p w14:paraId="26D35680" w14:textId="77777777" w:rsidR="0003750E" w:rsidRDefault="0003750E" w:rsidP="0003750E">
      <w:pPr>
        <w:pStyle w:val="SubHead"/>
        <w:rPr>
          <w:rFonts w:ascii="Arial Black" w:hAnsi="Arial Black" w:cs="Arial"/>
          <w:b w:val="0"/>
          <w:bCs/>
          <w:color w:val="31849B"/>
          <w:szCs w:val="28"/>
        </w:rPr>
      </w:pPr>
    </w:p>
    <w:p w14:paraId="14AA3928" w14:textId="77777777" w:rsidR="0003750E" w:rsidRDefault="0003750E" w:rsidP="0003750E">
      <w:pPr>
        <w:pStyle w:val="SubHead"/>
        <w:rPr>
          <w:rFonts w:ascii="Arial Black" w:hAnsi="Arial Black" w:cs="Arial"/>
          <w:b w:val="0"/>
          <w:bCs/>
          <w:color w:val="31849B"/>
          <w:szCs w:val="28"/>
        </w:rPr>
      </w:pPr>
    </w:p>
    <w:tbl>
      <w:tblPr>
        <w:tblW w:w="0" w:type="auto"/>
        <w:tblInd w:w="108" w:type="dxa"/>
        <w:tblCellMar>
          <w:left w:w="0" w:type="dxa"/>
          <w:right w:w="0" w:type="dxa"/>
        </w:tblCellMar>
        <w:tblLook w:val="04A0" w:firstRow="1" w:lastRow="0" w:firstColumn="1" w:lastColumn="0" w:noHBand="0" w:noVBand="1"/>
      </w:tblPr>
      <w:tblGrid>
        <w:gridCol w:w="1631"/>
        <w:gridCol w:w="5740"/>
        <w:gridCol w:w="2410"/>
      </w:tblGrid>
      <w:tr w:rsidR="0003750E" w:rsidRPr="009456E3" w14:paraId="1170ABC9" w14:textId="77777777" w:rsidTr="0065212A">
        <w:tc>
          <w:tcPr>
            <w:tcW w:w="163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615F6009" w14:textId="77777777" w:rsidR="0003750E" w:rsidRPr="009456E3" w:rsidRDefault="0003750E" w:rsidP="0065212A">
            <w:pPr>
              <w:spacing w:line="276" w:lineRule="auto"/>
              <w:jc w:val="center"/>
              <w:rPr>
                <w:rFonts w:eastAsiaTheme="minorHAnsi" w:cs="Arial"/>
                <w:sz w:val="24"/>
                <w:lang w:eastAsia="en-US"/>
              </w:rPr>
            </w:pPr>
            <w:r w:rsidRPr="009456E3">
              <w:rPr>
                <w:rFonts w:cs="Arial"/>
              </w:rPr>
              <w:t>Version Control</w:t>
            </w:r>
          </w:p>
        </w:tc>
        <w:tc>
          <w:tcPr>
            <w:tcW w:w="574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22F4356E" w14:textId="77777777" w:rsidR="0003750E" w:rsidRPr="009456E3" w:rsidRDefault="0003750E" w:rsidP="0065212A">
            <w:pPr>
              <w:spacing w:line="276" w:lineRule="auto"/>
              <w:jc w:val="center"/>
              <w:rPr>
                <w:rFonts w:eastAsiaTheme="minorHAnsi" w:cs="Arial"/>
                <w:sz w:val="24"/>
                <w:lang w:eastAsia="en-US"/>
              </w:rPr>
            </w:pPr>
            <w:r w:rsidRPr="009456E3">
              <w:rPr>
                <w:rFonts w:cs="Arial"/>
              </w:rPr>
              <w:t>Changes Made</w:t>
            </w:r>
          </w:p>
        </w:tc>
        <w:tc>
          <w:tcPr>
            <w:tcW w:w="241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0DB26F9E" w14:textId="77777777" w:rsidR="0003750E" w:rsidRPr="009456E3" w:rsidRDefault="0003750E" w:rsidP="0065212A">
            <w:pPr>
              <w:spacing w:line="276" w:lineRule="auto"/>
              <w:jc w:val="center"/>
              <w:rPr>
                <w:rFonts w:eastAsiaTheme="minorHAnsi" w:cs="Arial"/>
                <w:sz w:val="24"/>
                <w:lang w:eastAsia="en-US"/>
              </w:rPr>
            </w:pPr>
            <w:r w:rsidRPr="009456E3">
              <w:rPr>
                <w:rFonts w:cs="Arial"/>
              </w:rPr>
              <w:t>Author</w:t>
            </w:r>
          </w:p>
        </w:tc>
      </w:tr>
      <w:tr w:rsidR="0003750E" w:rsidRPr="009456E3" w14:paraId="78998870" w14:textId="77777777" w:rsidTr="0065212A">
        <w:tc>
          <w:tcPr>
            <w:tcW w:w="163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2A7AF804" w14:textId="77777777" w:rsidR="0003750E" w:rsidRDefault="0003750E" w:rsidP="0065212A">
            <w:pPr>
              <w:spacing w:line="276" w:lineRule="auto"/>
              <w:jc w:val="center"/>
              <w:rPr>
                <w:rFonts w:cs="Arial"/>
              </w:rPr>
            </w:pPr>
            <w:r w:rsidRPr="009456E3">
              <w:rPr>
                <w:rFonts w:cs="Arial"/>
              </w:rPr>
              <w:t>Version 1</w:t>
            </w:r>
            <w:r>
              <w:rPr>
                <w:rFonts w:cs="Arial"/>
              </w:rPr>
              <w:t xml:space="preserve"> </w:t>
            </w:r>
          </w:p>
          <w:p w14:paraId="4A897B8F" w14:textId="78641EE0" w:rsidR="0003750E" w:rsidRPr="009456E3" w:rsidRDefault="00622FA0" w:rsidP="0065212A">
            <w:pPr>
              <w:spacing w:line="276" w:lineRule="auto"/>
              <w:jc w:val="center"/>
              <w:rPr>
                <w:rFonts w:cs="Arial"/>
              </w:rPr>
            </w:pPr>
            <w:r>
              <w:rPr>
                <w:rFonts w:cs="Arial"/>
              </w:rPr>
              <w:t xml:space="preserve">May  </w:t>
            </w:r>
            <w:r w:rsidR="00127096">
              <w:rPr>
                <w:rFonts w:cs="Arial"/>
              </w:rPr>
              <w:t>2021</w:t>
            </w:r>
          </w:p>
          <w:p w14:paraId="1755E914" w14:textId="77777777" w:rsidR="0003750E" w:rsidRPr="009456E3" w:rsidRDefault="0003750E" w:rsidP="0065212A">
            <w:pPr>
              <w:spacing w:line="276" w:lineRule="auto"/>
              <w:jc w:val="center"/>
              <w:rPr>
                <w:rFonts w:eastAsiaTheme="minorHAnsi" w:cs="Arial"/>
                <w:sz w:val="24"/>
                <w:lang w:eastAsia="en-US"/>
              </w:rPr>
            </w:pPr>
          </w:p>
        </w:tc>
        <w:tc>
          <w:tcPr>
            <w:tcW w:w="5740" w:type="dxa"/>
            <w:tcBorders>
              <w:top w:val="single" w:sz="8" w:space="0" w:color="auto"/>
              <w:left w:val="nil"/>
              <w:bottom w:val="nil"/>
              <w:right w:val="single" w:sz="8" w:space="0" w:color="auto"/>
            </w:tcBorders>
            <w:tcMar>
              <w:top w:w="0" w:type="dxa"/>
              <w:left w:w="108" w:type="dxa"/>
              <w:bottom w:w="0" w:type="dxa"/>
              <w:right w:w="108" w:type="dxa"/>
            </w:tcMar>
          </w:tcPr>
          <w:p w14:paraId="55DB6CB8" w14:textId="135460A9" w:rsidR="0003750E" w:rsidRPr="009456E3" w:rsidRDefault="0003750E" w:rsidP="0065212A">
            <w:pPr>
              <w:spacing w:line="276" w:lineRule="auto"/>
              <w:rPr>
                <w:rFonts w:eastAsiaTheme="minorHAnsi" w:cs="Arial"/>
                <w:szCs w:val="20"/>
                <w:lang w:eastAsia="en-US"/>
              </w:rPr>
            </w:pPr>
          </w:p>
        </w:tc>
        <w:tc>
          <w:tcPr>
            <w:tcW w:w="2410" w:type="dxa"/>
            <w:tcBorders>
              <w:top w:val="single" w:sz="8" w:space="0" w:color="auto"/>
              <w:left w:val="nil"/>
              <w:bottom w:val="nil"/>
              <w:right w:val="single" w:sz="8" w:space="0" w:color="auto"/>
            </w:tcBorders>
            <w:tcMar>
              <w:top w:w="0" w:type="dxa"/>
              <w:left w:w="108" w:type="dxa"/>
              <w:bottom w:w="0" w:type="dxa"/>
              <w:right w:w="108" w:type="dxa"/>
            </w:tcMar>
          </w:tcPr>
          <w:p w14:paraId="5DE6C17C" w14:textId="1C6D1380" w:rsidR="0003750E" w:rsidRPr="009456E3" w:rsidRDefault="00127096" w:rsidP="0065212A">
            <w:pPr>
              <w:spacing w:line="276" w:lineRule="auto"/>
              <w:jc w:val="center"/>
              <w:rPr>
                <w:rFonts w:eastAsiaTheme="minorHAnsi" w:cs="Arial"/>
                <w:szCs w:val="20"/>
                <w:lang w:eastAsia="en-US"/>
              </w:rPr>
            </w:pPr>
            <w:proofErr w:type="spellStart"/>
            <w:r>
              <w:rPr>
                <w:rFonts w:eastAsiaTheme="minorHAnsi" w:cs="Arial"/>
                <w:szCs w:val="20"/>
                <w:lang w:eastAsia="en-US"/>
              </w:rPr>
              <w:t>J.Burchett</w:t>
            </w:r>
            <w:proofErr w:type="spellEnd"/>
          </w:p>
        </w:tc>
      </w:tr>
      <w:tr w:rsidR="0003750E" w:rsidRPr="009456E3" w14:paraId="61F1250C" w14:textId="77777777" w:rsidTr="0065212A">
        <w:tc>
          <w:tcPr>
            <w:tcW w:w="163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5141B16" w14:textId="77777777" w:rsidR="0003750E" w:rsidRPr="009456E3" w:rsidRDefault="0003750E" w:rsidP="00527CB4">
            <w:pPr>
              <w:spacing w:line="276" w:lineRule="auto"/>
              <w:rPr>
                <w:rFonts w:cs="Arial"/>
              </w:rPr>
            </w:pPr>
          </w:p>
        </w:tc>
        <w:tc>
          <w:tcPr>
            <w:tcW w:w="5740" w:type="dxa"/>
            <w:tcBorders>
              <w:top w:val="nil"/>
              <w:left w:val="nil"/>
              <w:bottom w:val="single" w:sz="4" w:space="0" w:color="auto"/>
              <w:right w:val="single" w:sz="8" w:space="0" w:color="auto"/>
            </w:tcBorders>
            <w:tcMar>
              <w:top w:w="0" w:type="dxa"/>
              <w:left w:w="108" w:type="dxa"/>
              <w:bottom w:w="0" w:type="dxa"/>
              <w:right w:w="108" w:type="dxa"/>
            </w:tcMar>
          </w:tcPr>
          <w:p w14:paraId="5F5FF222" w14:textId="77777777" w:rsidR="0003750E" w:rsidRPr="009456E3" w:rsidRDefault="0003750E" w:rsidP="0065212A">
            <w:pPr>
              <w:spacing w:line="276" w:lineRule="auto"/>
              <w:rPr>
                <w:rFonts w:eastAsiaTheme="minorHAnsi" w:cs="Arial"/>
                <w:szCs w:val="20"/>
                <w:lang w:eastAsia="en-US"/>
              </w:rPr>
            </w:pPr>
          </w:p>
        </w:tc>
        <w:tc>
          <w:tcPr>
            <w:tcW w:w="2410" w:type="dxa"/>
            <w:tcBorders>
              <w:top w:val="nil"/>
              <w:left w:val="nil"/>
              <w:bottom w:val="single" w:sz="4" w:space="0" w:color="auto"/>
              <w:right w:val="single" w:sz="8" w:space="0" w:color="auto"/>
            </w:tcBorders>
            <w:tcMar>
              <w:top w:w="0" w:type="dxa"/>
              <w:left w:w="108" w:type="dxa"/>
              <w:bottom w:w="0" w:type="dxa"/>
              <w:right w:w="108" w:type="dxa"/>
            </w:tcMar>
          </w:tcPr>
          <w:p w14:paraId="7ED8E5B4" w14:textId="77777777" w:rsidR="0003750E" w:rsidRPr="009456E3" w:rsidRDefault="0003750E" w:rsidP="0065212A">
            <w:pPr>
              <w:spacing w:line="276" w:lineRule="auto"/>
              <w:jc w:val="center"/>
              <w:rPr>
                <w:rFonts w:eastAsiaTheme="minorHAnsi" w:cs="Arial"/>
                <w:szCs w:val="20"/>
                <w:lang w:eastAsia="en-US"/>
              </w:rPr>
            </w:pPr>
          </w:p>
        </w:tc>
      </w:tr>
      <w:tr w:rsidR="0003750E" w:rsidRPr="009456E3" w14:paraId="49498404" w14:textId="77777777" w:rsidTr="0065212A">
        <w:tc>
          <w:tcPr>
            <w:tcW w:w="1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C82446" w14:textId="77777777" w:rsidR="0003750E" w:rsidRDefault="00527CB4" w:rsidP="0065212A">
            <w:pPr>
              <w:spacing w:line="276" w:lineRule="auto"/>
              <w:jc w:val="center"/>
              <w:rPr>
                <w:rFonts w:cs="Arial"/>
              </w:rPr>
            </w:pPr>
            <w:r>
              <w:rPr>
                <w:rFonts w:cs="Arial"/>
              </w:rPr>
              <w:t>Version 3</w:t>
            </w:r>
          </w:p>
          <w:p w14:paraId="27B17A2E" w14:textId="3844EC17" w:rsidR="00527CB4" w:rsidRPr="009456E3" w:rsidRDefault="00527CB4" w:rsidP="0065212A">
            <w:pPr>
              <w:spacing w:line="276" w:lineRule="auto"/>
              <w:jc w:val="center"/>
              <w:rPr>
                <w:rFonts w:cs="Arial"/>
              </w:rPr>
            </w:pPr>
            <w:r>
              <w:rPr>
                <w:rFonts w:cs="Arial"/>
              </w:rPr>
              <w:t xml:space="preserve">September 2021 </w:t>
            </w:r>
          </w:p>
        </w:tc>
        <w:tc>
          <w:tcPr>
            <w:tcW w:w="5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90B74" w14:textId="052497C6" w:rsidR="0003750E" w:rsidRPr="005B7CEB" w:rsidRDefault="00527CB4" w:rsidP="0065212A">
            <w:pPr>
              <w:spacing w:line="276" w:lineRule="auto"/>
              <w:rPr>
                <w:rFonts w:eastAsiaTheme="minorHAnsi" w:cs="Arial"/>
                <w:szCs w:val="20"/>
                <w:lang w:eastAsia="en-US"/>
              </w:rPr>
            </w:pPr>
            <w:r>
              <w:rPr>
                <w:rFonts w:eastAsiaTheme="minorHAnsi" w:cs="Arial"/>
                <w:szCs w:val="20"/>
                <w:lang w:eastAsia="en-US"/>
              </w:rPr>
              <w:t xml:space="preserve">Added information on CEV, Caring responsibilities and pregnancy plus some minor amendments following consultation with Trade Union colleagues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94BB1" w14:textId="446190D2" w:rsidR="0003750E" w:rsidRPr="009456E3" w:rsidRDefault="00527CB4" w:rsidP="0065212A">
            <w:pPr>
              <w:spacing w:line="276" w:lineRule="auto"/>
              <w:jc w:val="center"/>
              <w:rPr>
                <w:rFonts w:eastAsiaTheme="minorHAnsi" w:cs="Arial"/>
                <w:szCs w:val="20"/>
                <w:lang w:eastAsia="en-US"/>
              </w:rPr>
            </w:pPr>
            <w:r>
              <w:rPr>
                <w:rFonts w:eastAsiaTheme="minorHAnsi" w:cs="Arial"/>
                <w:szCs w:val="20"/>
                <w:lang w:eastAsia="en-US"/>
              </w:rPr>
              <w:t xml:space="preserve">K Anderson </w:t>
            </w:r>
          </w:p>
        </w:tc>
      </w:tr>
    </w:tbl>
    <w:p w14:paraId="245A6891" w14:textId="77777777" w:rsidR="0003750E" w:rsidRDefault="0003750E" w:rsidP="0003750E">
      <w:pPr>
        <w:pStyle w:val="SubHead"/>
        <w:rPr>
          <w:rFonts w:ascii="Arial Black" w:hAnsi="Arial Black" w:cs="Arial"/>
          <w:b w:val="0"/>
          <w:bCs/>
          <w:color w:val="31849B"/>
          <w:szCs w:val="28"/>
        </w:rPr>
      </w:pPr>
    </w:p>
    <w:p w14:paraId="3B6A57B8" w14:textId="4215AFD9" w:rsidR="0003750E" w:rsidRDefault="0003750E" w:rsidP="00AC598F">
      <w:pPr>
        <w:pStyle w:val="SubHead"/>
        <w:rPr>
          <w:rFonts w:ascii="Arial Black" w:hAnsi="Arial Black" w:cs="Arial"/>
          <w:b w:val="0"/>
          <w:bCs/>
          <w:color w:val="31849B"/>
          <w:szCs w:val="28"/>
        </w:rPr>
      </w:pPr>
      <w:r w:rsidRPr="003E2C80">
        <w:rPr>
          <w:rFonts w:ascii="Arial Black" w:hAnsi="Arial Black" w:cs="Arial"/>
          <w:b w:val="0"/>
          <w:bCs/>
          <w:color w:val="31849B"/>
          <w:szCs w:val="28"/>
        </w:rPr>
        <w:t>Introduction</w:t>
      </w:r>
    </w:p>
    <w:p w14:paraId="5507DEA3" w14:textId="77777777" w:rsidR="00AC598F" w:rsidRDefault="00AC598F" w:rsidP="00AC598F">
      <w:pPr>
        <w:pStyle w:val="SubHead"/>
        <w:rPr>
          <w:rFonts w:ascii="Arial Black" w:hAnsi="Arial Black" w:cs="Arial"/>
          <w:b w:val="0"/>
          <w:bCs/>
          <w:color w:val="31849B"/>
          <w:szCs w:val="28"/>
        </w:rPr>
      </w:pPr>
    </w:p>
    <w:p w14:paraId="6AF21EC0" w14:textId="6D73D418" w:rsidR="00D67451" w:rsidRDefault="00D67451" w:rsidP="00AC598F">
      <w:pPr>
        <w:pStyle w:val="SubHead"/>
        <w:rPr>
          <w:rFonts w:ascii="Arial" w:hAnsi="Arial" w:cs="Arial"/>
          <w:b w:val="0"/>
          <w:color w:val="000000"/>
          <w:sz w:val="24"/>
          <w:szCs w:val="24"/>
          <w:lang w:eastAsia="en-GB"/>
        </w:rPr>
      </w:pPr>
      <w:r w:rsidRPr="00D67451">
        <w:rPr>
          <w:rFonts w:ascii="Arial" w:hAnsi="Arial" w:cs="Arial"/>
          <w:b w:val="0"/>
          <w:color w:val="000000"/>
          <w:sz w:val="24"/>
          <w:szCs w:val="24"/>
          <w:lang w:eastAsia="en-GB"/>
        </w:rPr>
        <w:t xml:space="preserve">This </w:t>
      </w:r>
      <w:bookmarkStart w:id="0" w:name="_GoBack"/>
      <w:r w:rsidRPr="00D67451">
        <w:rPr>
          <w:rFonts w:ascii="Arial" w:hAnsi="Arial" w:cs="Arial"/>
          <w:b w:val="0"/>
          <w:color w:val="000000"/>
          <w:sz w:val="24"/>
          <w:szCs w:val="24"/>
          <w:lang w:eastAsia="en-GB"/>
        </w:rPr>
        <w:t xml:space="preserve">guidance applies to employees where they are absent from work due to </w:t>
      </w:r>
      <w:r>
        <w:rPr>
          <w:rFonts w:ascii="Arial" w:hAnsi="Arial" w:cs="Arial"/>
          <w:b w:val="0"/>
          <w:color w:val="000000"/>
          <w:sz w:val="24"/>
          <w:szCs w:val="24"/>
          <w:lang w:eastAsia="en-GB"/>
        </w:rPr>
        <w:t>Covid-19</w:t>
      </w:r>
      <w:r w:rsidR="00427789">
        <w:rPr>
          <w:rFonts w:ascii="Arial" w:hAnsi="Arial" w:cs="Arial"/>
          <w:b w:val="0"/>
          <w:color w:val="000000"/>
          <w:sz w:val="24"/>
          <w:szCs w:val="24"/>
          <w:lang w:eastAsia="en-GB"/>
        </w:rPr>
        <w:t xml:space="preserve"> related sickness absence</w:t>
      </w:r>
      <w:bookmarkEnd w:id="0"/>
      <w:r w:rsidRPr="00D67451">
        <w:rPr>
          <w:rFonts w:ascii="Arial" w:hAnsi="Arial" w:cs="Arial"/>
          <w:b w:val="0"/>
          <w:color w:val="000000"/>
          <w:sz w:val="24"/>
          <w:szCs w:val="24"/>
          <w:lang w:eastAsia="en-GB"/>
        </w:rPr>
        <w:t xml:space="preserve">. </w:t>
      </w:r>
      <w:r>
        <w:rPr>
          <w:rFonts w:ascii="Arial" w:hAnsi="Arial" w:cs="Arial"/>
          <w:b w:val="0"/>
          <w:color w:val="000000"/>
          <w:sz w:val="24"/>
          <w:szCs w:val="24"/>
          <w:lang w:eastAsia="en-GB"/>
        </w:rPr>
        <w:t xml:space="preserve">It </w:t>
      </w:r>
      <w:proofErr w:type="gramStart"/>
      <w:r>
        <w:rPr>
          <w:rFonts w:ascii="Arial" w:hAnsi="Arial" w:cs="Arial"/>
          <w:b w:val="0"/>
          <w:color w:val="000000"/>
          <w:sz w:val="24"/>
          <w:szCs w:val="24"/>
          <w:lang w:eastAsia="en-GB"/>
        </w:rPr>
        <w:t xml:space="preserve">is </w:t>
      </w:r>
      <w:r w:rsidRPr="00D67451">
        <w:rPr>
          <w:rFonts w:ascii="Arial" w:hAnsi="Arial" w:cs="Arial"/>
          <w:b w:val="0"/>
          <w:color w:val="000000"/>
          <w:sz w:val="24"/>
          <w:szCs w:val="24"/>
          <w:lang w:eastAsia="en-GB"/>
        </w:rPr>
        <w:t>intended</w:t>
      </w:r>
      <w:proofErr w:type="gramEnd"/>
      <w:r w:rsidRPr="00D67451">
        <w:rPr>
          <w:rFonts w:ascii="Arial" w:hAnsi="Arial" w:cs="Arial"/>
          <w:b w:val="0"/>
          <w:color w:val="000000"/>
          <w:sz w:val="24"/>
          <w:szCs w:val="24"/>
          <w:lang w:eastAsia="en-GB"/>
        </w:rPr>
        <w:t xml:space="preserve"> to provide guidance to managers/head teachers and employees in relation to the management of absence</w:t>
      </w:r>
      <w:r>
        <w:rPr>
          <w:rFonts w:ascii="Arial" w:hAnsi="Arial" w:cs="Arial"/>
          <w:b w:val="0"/>
          <w:color w:val="000000"/>
          <w:sz w:val="24"/>
          <w:szCs w:val="24"/>
          <w:lang w:eastAsia="en-GB"/>
        </w:rPr>
        <w:t>s</w:t>
      </w:r>
      <w:r w:rsidRPr="00D67451">
        <w:rPr>
          <w:rFonts w:ascii="Arial" w:hAnsi="Arial" w:cs="Arial"/>
          <w:b w:val="0"/>
          <w:color w:val="000000"/>
          <w:sz w:val="24"/>
          <w:szCs w:val="24"/>
          <w:lang w:eastAsia="en-GB"/>
        </w:rPr>
        <w:t>.</w:t>
      </w:r>
    </w:p>
    <w:p w14:paraId="3B1701EC" w14:textId="77777777" w:rsidR="00D67451" w:rsidRDefault="00D67451" w:rsidP="00AC598F">
      <w:pPr>
        <w:pStyle w:val="SubHead"/>
        <w:rPr>
          <w:rFonts w:ascii="Arial" w:hAnsi="Arial" w:cs="Arial"/>
          <w:b w:val="0"/>
          <w:color w:val="000000"/>
          <w:sz w:val="24"/>
          <w:szCs w:val="24"/>
          <w:lang w:eastAsia="en-GB"/>
        </w:rPr>
      </w:pPr>
    </w:p>
    <w:p w14:paraId="2065D775" w14:textId="7B584424" w:rsidR="004E1315" w:rsidRDefault="004E1315" w:rsidP="004E1315">
      <w:pPr>
        <w:pStyle w:val="SubHead"/>
        <w:rPr>
          <w:rFonts w:ascii="Arial" w:hAnsi="Arial" w:cs="Arial"/>
          <w:b w:val="0"/>
          <w:bCs/>
          <w:color w:val="0070C0"/>
          <w:sz w:val="24"/>
          <w:szCs w:val="24"/>
        </w:rPr>
      </w:pPr>
      <w:r>
        <w:rPr>
          <w:rFonts w:ascii="Arial" w:hAnsi="Arial" w:cs="Arial"/>
          <w:b w:val="0"/>
          <w:bCs/>
          <w:sz w:val="24"/>
          <w:szCs w:val="24"/>
        </w:rPr>
        <w:t xml:space="preserve">At the time of writing, the pandemic is ongoing, and the situation continues to evolve. Therefore, it </w:t>
      </w:r>
      <w:proofErr w:type="gramStart"/>
      <w:r>
        <w:rPr>
          <w:rFonts w:ascii="Arial" w:hAnsi="Arial" w:cs="Arial"/>
          <w:b w:val="0"/>
          <w:bCs/>
          <w:sz w:val="24"/>
          <w:szCs w:val="24"/>
        </w:rPr>
        <w:t>is expected</w:t>
      </w:r>
      <w:proofErr w:type="gramEnd"/>
      <w:r>
        <w:rPr>
          <w:rFonts w:ascii="Arial" w:hAnsi="Arial" w:cs="Arial"/>
          <w:b w:val="0"/>
          <w:bCs/>
          <w:sz w:val="24"/>
          <w:szCs w:val="24"/>
        </w:rPr>
        <w:t xml:space="preserve"> that this guidance will remain under review and may change, so managers and employees should ensure that they are referring to the most recent version of this document, which will be available on the </w:t>
      </w:r>
      <w:r w:rsidRPr="004E1315">
        <w:rPr>
          <w:rFonts w:ascii="Arial" w:hAnsi="Arial" w:cs="Arial"/>
          <w:b w:val="0"/>
          <w:bCs/>
          <w:sz w:val="24"/>
          <w:szCs w:val="24"/>
        </w:rPr>
        <w:t>Cumbria County Council</w:t>
      </w:r>
      <w:r>
        <w:rPr>
          <w:rFonts w:ascii="Arial" w:hAnsi="Arial" w:cs="Arial"/>
          <w:b w:val="0"/>
          <w:bCs/>
          <w:sz w:val="24"/>
          <w:szCs w:val="24"/>
        </w:rPr>
        <w:t xml:space="preserve"> website, in touch and School Portal</w:t>
      </w:r>
      <w:r w:rsidR="001D5104">
        <w:rPr>
          <w:rFonts w:ascii="Arial" w:hAnsi="Arial" w:cs="Arial"/>
          <w:b w:val="0"/>
          <w:bCs/>
          <w:sz w:val="24"/>
          <w:szCs w:val="24"/>
        </w:rPr>
        <w:t>.</w:t>
      </w:r>
      <w:r>
        <w:rPr>
          <w:rFonts w:ascii="Arial" w:hAnsi="Arial" w:cs="Arial"/>
          <w:b w:val="0"/>
          <w:bCs/>
          <w:sz w:val="24"/>
          <w:szCs w:val="24"/>
        </w:rPr>
        <w:t xml:space="preserve"> </w:t>
      </w:r>
    </w:p>
    <w:p w14:paraId="0EB36BE2" w14:textId="77777777" w:rsidR="0050346D" w:rsidRDefault="0050346D" w:rsidP="00AC598F">
      <w:pPr>
        <w:pStyle w:val="SubHead"/>
        <w:rPr>
          <w:rFonts w:ascii="Arial" w:hAnsi="Arial" w:cs="Arial"/>
          <w:b w:val="0"/>
          <w:bCs/>
          <w:color w:val="0070C0"/>
          <w:sz w:val="24"/>
          <w:szCs w:val="24"/>
        </w:rPr>
      </w:pPr>
    </w:p>
    <w:p w14:paraId="4E1AF17F" w14:textId="193DE4B6" w:rsidR="007E5316" w:rsidRPr="00AC598F" w:rsidRDefault="0050346D" w:rsidP="00AC598F">
      <w:pPr>
        <w:pStyle w:val="SubHead"/>
        <w:rPr>
          <w:rFonts w:ascii="Arial" w:hAnsi="Arial" w:cs="Arial"/>
          <w:b w:val="0"/>
          <w:bCs/>
          <w:sz w:val="24"/>
          <w:szCs w:val="24"/>
        </w:rPr>
      </w:pPr>
      <w:r w:rsidRPr="00AC598F">
        <w:rPr>
          <w:rFonts w:ascii="Arial" w:hAnsi="Arial" w:cs="Arial"/>
          <w:b w:val="0"/>
          <w:bCs/>
          <w:sz w:val="24"/>
          <w:szCs w:val="24"/>
        </w:rPr>
        <w:t xml:space="preserve">For Schools, where Occupational Health </w:t>
      </w:r>
      <w:proofErr w:type="gramStart"/>
      <w:r w:rsidRPr="00AC598F">
        <w:rPr>
          <w:rFonts w:ascii="Arial" w:hAnsi="Arial" w:cs="Arial"/>
          <w:b w:val="0"/>
          <w:bCs/>
          <w:sz w:val="24"/>
          <w:szCs w:val="24"/>
        </w:rPr>
        <w:t>is referred</w:t>
      </w:r>
      <w:proofErr w:type="gramEnd"/>
      <w:r w:rsidRPr="00AC598F">
        <w:rPr>
          <w:rFonts w:ascii="Arial" w:hAnsi="Arial" w:cs="Arial"/>
          <w:b w:val="0"/>
          <w:bCs/>
          <w:sz w:val="24"/>
          <w:szCs w:val="24"/>
        </w:rPr>
        <w:t xml:space="preserve"> to this should be the School’s OH Provider</w:t>
      </w:r>
      <w:r w:rsidR="004E1315">
        <w:rPr>
          <w:rFonts w:ascii="Arial" w:hAnsi="Arial" w:cs="Arial"/>
          <w:b w:val="0"/>
          <w:bCs/>
          <w:sz w:val="24"/>
          <w:szCs w:val="24"/>
        </w:rPr>
        <w:t xml:space="preserve"> and</w:t>
      </w:r>
      <w:r w:rsidRPr="00AC598F">
        <w:rPr>
          <w:rFonts w:ascii="Arial" w:hAnsi="Arial" w:cs="Arial"/>
          <w:b w:val="0"/>
          <w:bCs/>
          <w:sz w:val="24"/>
          <w:szCs w:val="24"/>
        </w:rPr>
        <w:t xml:space="preserve"> </w:t>
      </w:r>
      <w:r w:rsidR="004E1315">
        <w:rPr>
          <w:rFonts w:ascii="Arial" w:hAnsi="Arial" w:cs="Arial"/>
          <w:b w:val="0"/>
          <w:bCs/>
          <w:sz w:val="24"/>
          <w:szCs w:val="24"/>
        </w:rPr>
        <w:t>s</w:t>
      </w:r>
      <w:r w:rsidRPr="00AC598F">
        <w:rPr>
          <w:rFonts w:ascii="Arial" w:hAnsi="Arial" w:cs="Arial"/>
          <w:b w:val="0"/>
          <w:bCs/>
          <w:sz w:val="24"/>
          <w:szCs w:val="24"/>
        </w:rPr>
        <w:t xml:space="preserve">chools should use their own recording system should they not have access to </w:t>
      </w:r>
      <w:proofErr w:type="spellStart"/>
      <w:r w:rsidRPr="00AC598F">
        <w:rPr>
          <w:rFonts w:ascii="Arial" w:hAnsi="Arial" w:cs="Arial"/>
          <w:b w:val="0"/>
          <w:bCs/>
          <w:sz w:val="24"/>
          <w:szCs w:val="24"/>
        </w:rPr>
        <w:t>Itrent</w:t>
      </w:r>
      <w:proofErr w:type="spellEnd"/>
      <w:r w:rsidRPr="00AC598F">
        <w:rPr>
          <w:rFonts w:ascii="Arial" w:hAnsi="Arial" w:cs="Arial"/>
          <w:b w:val="0"/>
          <w:bCs/>
          <w:sz w:val="24"/>
          <w:szCs w:val="24"/>
        </w:rPr>
        <w:t>.</w:t>
      </w:r>
    </w:p>
    <w:p w14:paraId="130BAF2E" w14:textId="77777777" w:rsidR="007E5316" w:rsidRPr="00C60A17" w:rsidRDefault="007E5316" w:rsidP="00AC598F">
      <w:pPr>
        <w:pStyle w:val="SubHead"/>
        <w:rPr>
          <w:rFonts w:ascii="Arial" w:hAnsi="Arial" w:cs="Arial"/>
          <w:b w:val="0"/>
          <w:bCs/>
          <w:sz w:val="24"/>
          <w:szCs w:val="24"/>
        </w:rPr>
      </w:pPr>
    </w:p>
    <w:p w14:paraId="107A07D9" w14:textId="79EDC14E" w:rsidR="00784F85" w:rsidRDefault="00784F85" w:rsidP="004E1315">
      <w:pPr>
        <w:spacing w:line="240" w:lineRule="auto"/>
        <w:jc w:val="both"/>
        <w:rPr>
          <w:rFonts w:ascii="Arial Black" w:hAnsi="Arial Black" w:cs="Arial"/>
          <w:color w:val="31849B"/>
          <w:sz w:val="28"/>
          <w:szCs w:val="28"/>
        </w:rPr>
      </w:pPr>
      <w:r>
        <w:rPr>
          <w:rFonts w:ascii="Arial Black" w:hAnsi="Arial Black" w:cs="Arial"/>
          <w:color w:val="31849B"/>
          <w:sz w:val="28"/>
          <w:szCs w:val="28"/>
        </w:rPr>
        <w:t>Supporting colleagues</w:t>
      </w:r>
      <w:r w:rsidR="004E1315">
        <w:rPr>
          <w:rFonts w:ascii="Arial Black" w:hAnsi="Arial Black" w:cs="Arial"/>
          <w:color w:val="31849B"/>
          <w:sz w:val="28"/>
          <w:szCs w:val="28"/>
        </w:rPr>
        <w:t xml:space="preserve"> who are recognised as Clinically Extremely Vulnerable (</w:t>
      </w:r>
      <w:r w:rsidR="00E275F4">
        <w:rPr>
          <w:rFonts w:ascii="Arial Black" w:hAnsi="Arial Black" w:cs="Arial"/>
          <w:color w:val="31849B"/>
          <w:sz w:val="28"/>
          <w:szCs w:val="28"/>
        </w:rPr>
        <w:t>CEV)</w:t>
      </w:r>
    </w:p>
    <w:p w14:paraId="4F35128E" w14:textId="77777777" w:rsidR="00AC598F" w:rsidRDefault="00AC598F" w:rsidP="00AC598F">
      <w:pPr>
        <w:spacing w:line="240" w:lineRule="auto"/>
        <w:ind w:left="284" w:hanging="284"/>
        <w:jc w:val="both"/>
        <w:rPr>
          <w:rFonts w:ascii="Arial Black" w:hAnsi="Arial Black" w:cs="Arial"/>
          <w:color w:val="31849B"/>
          <w:sz w:val="28"/>
          <w:szCs w:val="28"/>
        </w:rPr>
      </w:pPr>
    </w:p>
    <w:p w14:paraId="7ABB1B7D" w14:textId="77777777" w:rsidR="00427789" w:rsidRDefault="00E275F4" w:rsidP="00AC598F">
      <w:pPr>
        <w:spacing w:line="240" w:lineRule="auto"/>
        <w:jc w:val="both"/>
        <w:rPr>
          <w:rFonts w:cs="Arial"/>
          <w:sz w:val="24"/>
        </w:rPr>
      </w:pPr>
      <w:r>
        <w:rPr>
          <w:rFonts w:cs="Arial"/>
          <w:sz w:val="24"/>
        </w:rPr>
        <w:t>If there is a period of Shielding advised by relevant governmental department or local authority</w:t>
      </w:r>
      <w:r w:rsidR="00213773">
        <w:rPr>
          <w:rFonts w:cs="Arial"/>
          <w:sz w:val="24"/>
        </w:rPr>
        <w:t>, employees who are classified</w:t>
      </w:r>
      <w:r>
        <w:rPr>
          <w:rFonts w:cs="Arial"/>
          <w:sz w:val="24"/>
        </w:rPr>
        <w:t xml:space="preserve"> </w:t>
      </w:r>
      <w:r w:rsidR="00213773">
        <w:rPr>
          <w:rFonts w:cs="Arial"/>
          <w:sz w:val="24"/>
        </w:rPr>
        <w:t>CEV may be required to stay at home</w:t>
      </w:r>
      <w:r>
        <w:rPr>
          <w:rFonts w:cs="Arial"/>
          <w:sz w:val="24"/>
        </w:rPr>
        <w:t xml:space="preserve"> (shielding)</w:t>
      </w:r>
      <w:r w:rsidR="00213773">
        <w:rPr>
          <w:rFonts w:cs="Arial"/>
          <w:sz w:val="24"/>
        </w:rPr>
        <w:t>.</w:t>
      </w:r>
      <w:r w:rsidR="0053331E">
        <w:rPr>
          <w:rFonts w:cs="Arial"/>
          <w:sz w:val="24"/>
        </w:rPr>
        <w:t xml:space="preserve"> </w:t>
      </w:r>
    </w:p>
    <w:p w14:paraId="50E58A78" w14:textId="77777777" w:rsidR="00427789" w:rsidRDefault="00427789" w:rsidP="00AC598F">
      <w:pPr>
        <w:spacing w:line="240" w:lineRule="auto"/>
        <w:jc w:val="both"/>
        <w:rPr>
          <w:rFonts w:cs="Arial"/>
          <w:sz w:val="24"/>
        </w:rPr>
      </w:pPr>
    </w:p>
    <w:p w14:paraId="02A0E660" w14:textId="4F48BED7" w:rsidR="001C47F5" w:rsidRDefault="0053331E" w:rsidP="00AC598F">
      <w:pPr>
        <w:spacing w:line="240" w:lineRule="auto"/>
        <w:jc w:val="both"/>
        <w:rPr>
          <w:rFonts w:cs="Arial"/>
          <w:sz w:val="24"/>
        </w:rPr>
      </w:pPr>
      <w:r>
        <w:rPr>
          <w:rFonts w:cs="Arial"/>
          <w:sz w:val="24"/>
        </w:rPr>
        <w:lastRenderedPageBreak/>
        <w:t xml:space="preserve">Where employees are otherwise fit for work and </w:t>
      </w:r>
      <w:r w:rsidR="00E275F4">
        <w:rPr>
          <w:rFonts w:cs="Arial"/>
          <w:sz w:val="24"/>
        </w:rPr>
        <w:t>shielding</w:t>
      </w:r>
      <w:r>
        <w:rPr>
          <w:rFonts w:cs="Arial"/>
          <w:sz w:val="24"/>
        </w:rPr>
        <w:t xml:space="preserve"> at home in line with th</w:t>
      </w:r>
      <w:r w:rsidR="001C47F5">
        <w:rPr>
          <w:rFonts w:cs="Arial"/>
          <w:sz w:val="24"/>
        </w:rPr>
        <w:t>e</w:t>
      </w:r>
      <w:r>
        <w:rPr>
          <w:rFonts w:cs="Arial"/>
          <w:sz w:val="24"/>
        </w:rPr>
        <w:t xml:space="preserve"> guidance</w:t>
      </w:r>
      <w:r w:rsidR="001C47F5">
        <w:rPr>
          <w:rFonts w:cs="Arial"/>
          <w:sz w:val="24"/>
        </w:rPr>
        <w:t xml:space="preserve">, </w:t>
      </w:r>
      <w:r w:rsidR="00427789">
        <w:rPr>
          <w:rFonts w:cs="Arial"/>
          <w:sz w:val="24"/>
        </w:rPr>
        <w:t xml:space="preserve">they </w:t>
      </w:r>
      <w:proofErr w:type="gramStart"/>
      <w:r w:rsidR="00427789">
        <w:rPr>
          <w:rFonts w:cs="Arial"/>
          <w:sz w:val="24"/>
        </w:rPr>
        <w:t>should be given</w:t>
      </w:r>
      <w:proofErr w:type="gramEnd"/>
      <w:r w:rsidR="00427789">
        <w:rPr>
          <w:rFonts w:cs="Arial"/>
          <w:sz w:val="24"/>
        </w:rPr>
        <w:t xml:space="preserve"> alternative duties if they cannot conduct their normal duties so they can work from home</w:t>
      </w:r>
      <w:r w:rsidR="00DB1700">
        <w:rPr>
          <w:rFonts w:cs="Arial"/>
          <w:sz w:val="24"/>
        </w:rPr>
        <w:t xml:space="preserve">, it is still important to record </w:t>
      </w:r>
      <w:r w:rsidR="00427789">
        <w:rPr>
          <w:rFonts w:cs="Arial"/>
          <w:sz w:val="24"/>
        </w:rPr>
        <w:t>this, but they should not be managed under the Absence and Wellbeing procedure</w:t>
      </w:r>
      <w:r w:rsidR="009739CD">
        <w:rPr>
          <w:rFonts w:cs="Arial"/>
          <w:sz w:val="24"/>
        </w:rPr>
        <w:t xml:space="preserve">. </w:t>
      </w:r>
      <w:r w:rsidR="00AE5710">
        <w:rPr>
          <w:rFonts w:cs="Arial"/>
          <w:sz w:val="24"/>
        </w:rPr>
        <w:t>For core council staff, this need</w:t>
      </w:r>
      <w:r w:rsidR="009739CD">
        <w:rPr>
          <w:rFonts w:cs="Arial"/>
          <w:sz w:val="24"/>
        </w:rPr>
        <w:t>s</w:t>
      </w:r>
      <w:r w:rsidR="00AE5710">
        <w:rPr>
          <w:rFonts w:cs="Arial"/>
          <w:sz w:val="24"/>
        </w:rPr>
        <w:t xml:space="preserve"> to </w:t>
      </w:r>
      <w:proofErr w:type="gramStart"/>
      <w:r w:rsidR="00AE5710">
        <w:rPr>
          <w:rFonts w:cs="Arial"/>
          <w:sz w:val="24"/>
        </w:rPr>
        <w:t>be recorded</w:t>
      </w:r>
      <w:proofErr w:type="gramEnd"/>
      <w:r w:rsidR="00AE5710">
        <w:rPr>
          <w:rFonts w:cs="Arial"/>
          <w:sz w:val="24"/>
        </w:rPr>
        <w:t xml:space="preserve"> on </w:t>
      </w:r>
      <w:r w:rsidR="009739CD">
        <w:rPr>
          <w:rFonts w:cs="Arial"/>
          <w:sz w:val="24"/>
        </w:rPr>
        <w:t>T</w:t>
      </w:r>
      <w:r w:rsidR="00AE5710">
        <w:rPr>
          <w:rFonts w:cs="Arial"/>
          <w:sz w:val="24"/>
        </w:rPr>
        <w:t>rent</w:t>
      </w:r>
      <w:r w:rsidR="00DB1700">
        <w:rPr>
          <w:rFonts w:cs="Arial"/>
          <w:sz w:val="24"/>
        </w:rPr>
        <w:t xml:space="preserve"> under </w:t>
      </w:r>
      <w:r w:rsidR="00AE5710">
        <w:rPr>
          <w:rFonts w:cs="Arial"/>
          <w:sz w:val="24"/>
        </w:rPr>
        <w:t>‘</w:t>
      </w:r>
      <w:r w:rsidR="00DB1700">
        <w:rPr>
          <w:rFonts w:cs="Arial"/>
          <w:sz w:val="24"/>
        </w:rPr>
        <w:t>other absence</w:t>
      </w:r>
      <w:r w:rsidR="00AE5710">
        <w:rPr>
          <w:rFonts w:cs="Arial"/>
          <w:sz w:val="24"/>
        </w:rPr>
        <w:t>’</w:t>
      </w:r>
      <w:r w:rsidR="00DB1700">
        <w:rPr>
          <w:rFonts w:cs="Arial"/>
          <w:sz w:val="24"/>
        </w:rPr>
        <w:t xml:space="preserve"> using the correct reason</w:t>
      </w:r>
      <w:r w:rsidR="00C052B1">
        <w:rPr>
          <w:rFonts w:cs="Arial"/>
          <w:sz w:val="24"/>
        </w:rPr>
        <w:t xml:space="preserve">. While this </w:t>
      </w:r>
      <w:proofErr w:type="gramStart"/>
      <w:r w:rsidR="00C052B1">
        <w:rPr>
          <w:rFonts w:cs="Arial"/>
          <w:sz w:val="24"/>
        </w:rPr>
        <w:t>is recorded</w:t>
      </w:r>
      <w:proofErr w:type="gramEnd"/>
      <w:r w:rsidR="00C052B1">
        <w:rPr>
          <w:rFonts w:cs="Arial"/>
          <w:sz w:val="24"/>
        </w:rPr>
        <w:t xml:space="preserve"> under ‘other absence’ on Trent for logistical reasons, we do not regard these staff as absent from work.</w:t>
      </w:r>
      <w:r w:rsidR="009739CD">
        <w:rPr>
          <w:rFonts w:cs="Arial"/>
          <w:sz w:val="24"/>
        </w:rPr>
        <w:t xml:space="preserve"> For Schools staff, these arrangements will need to </w:t>
      </w:r>
      <w:proofErr w:type="gramStart"/>
      <w:r w:rsidR="009739CD">
        <w:rPr>
          <w:rFonts w:cs="Arial"/>
          <w:sz w:val="24"/>
        </w:rPr>
        <w:t>be recorded</w:t>
      </w:r>
      <w:proofErr w:type="gramEnd"/>
      <w:r w:rsidR="009739CD">
        <w:rPr>
          <w:rFonts w:cs="Arial"/>
          <w:sz w:val="24"/>
        </w:rPr>
        <w:t xml:space="preserve"> using the most appropriate reasons available on their own </w:t>
      </w:r>
      <w:r w:rsidR="00E55A46">
        <w:rPr>
          <w:rFonts w:cs="Arial"/>
          <w:sz w:val="24"/>
        </w:rPr>
        <w:t>reco</w:t>
      </w:r>
      <w:r w:rsidR="00325C16">
        <w:rPr>
          <w:rFonts w:cs="Arial"/>
          <w:sz w:val="24"/>
        </w:rPr>
        <w:t>r</w:t>
      </w:r>
      <w:r w:rsidR="00E55A46">
        <w:rPr>
          <w:rFonts w:cs="Arial"/>
          <w:sz w:val="24"/>
        </w:rPr>
        <w:t xml:space="preserve">ding </w:t>
      </w:r>
      <w:r w:rsidR="009739CD">
        <w:rPr>
          <w:rFonts w:cs="Arial"/>
          <w:sz w:val="24"/>
        </w:rPr>
        <w:t>systems.</w:t>
      </w:r>
      <w:r w:rsidR="001C47F5">
        <w:rPr>
          <w:rFonts w:cs="Arial"/>
          <w:sz w:val="24"/>
        </w:rPr>
        <w:t xml:space="preserve"> For full guidance</w:t>
      </w:r>
      <w:r w:rsidR="00E96250">
        <w:rPr>
          <w:rFonts w:cs="Arial"/>
          <w:sz w:val="24"/>
        </w:rPr>
        <w:t>,</w:t>
      </w:r>
      <w:r w:rsidR="001C47F5">
        <w:rPr>
          <w:rFonts w:cs="Arial"/>
          <w:sz w:val="24"/>
        </w:rPr>
        <w:t xml:space="preserve"> please refer to the most up</w:t>
      </w:r>
      <w:r w:rsidR="00E96250">
        <w:rPr>
          <w:rFonts w:cs="Arial"/>
          <w:sz w:val="24"/>
        </w:rPr>
        <w:t>-</w:t>
      </w:r>
      <w:r w:rsidR="001C47F5">
        <w:rPr>
          <w:rFonts w:cs="Arial"/>
          <w:sz w:val="24"/>
        </w:rPr>
        <w:t>to</w:t>
      </w:r>
      <w:r w:rsidR="00E96250">
        <w:rPr>
          <w:rFonts w:cs="Arial"/>
          <w:sz w:val="24"/>
        </w:rPr>
        <w:t>-</w:t>
      </w:r>
      <w:r w:rsidR="001C47F5">
        <w:rPr>
          <w:rFonts w:cs="Arial"/>
          <w:sz w:val="24"/>
        </w:rPr>
        <w:t>date</w:t>
      </w:r>
      <w:r w:rsidR="00E96250">
        <w:rPr>
          <w:rFonts w:cs="Arial"/>
          <w:sz w:val="24"/>
        </w:rPr>
        <w:t xml:space="preserve"> </w:t>
      </w:r>
      <w:r w:rsidR="001C47F5">
        <w:rPr>
          <w:rFonts w:cs="Arial"/>
          <w:sz w:val="24"/>
        </w:rPr>
        <w:t xml:space="preserve">version of the Coronavirus FAQ’s. </w:t>
      </w:r>
      <w:hyperlink r:id="rId9" w:history="1">
        <w:r w:rsidR="00DD1736" w:rsidRPr="00DD1736">
          <w:rPr>
            <w:color w:val="0000FF"/>
            <w:u w:val="single"/>
          </w:rPr>
          <w:t>Coronavirus - Employees Frequently Asked Questions | Cumbria County Council</w:t>
        </w:r>
      </w:hyperlink>
    </w:p>
    <w:p w14:paraId="146C7C5D" w14:textId="20EBB28F" w:rsidR="001C47F5" w:rsidRDefault="001C47F5" w:rsidP="00AC598F">
      <w:pPr>
        <w:spacing w:line="240" w:lineRule="auto"/>
        <w:jc w:val="both"/>
        <w:rPr>
          <w:rFonts w:cs="Arial"/>
          <w:sz w:val="24"/>
        </w:rPr>
      </w:pPr>
    </w:p>
    <w:p w14:paraId="0D2DE953" w14:textId="648CA921" w:rsidR="001C47F5" w:rsidRDefault="00E96250" w:rsidP="00AC598F">
      <w:pPr>
        <w:spacing w:line="240" w:lineRule="auto"/>
        <w:jc w:val="both"/>
        <w:rPr>
          <w:rFonts w:cs="Arial"/>
          <w:sz w:val="24"/>
        </w:rPr>
      </w:pPr>
      <w:r>
        <w:rPr>
          <w:rFonts w:cs="Arial"/>
          <w:sz w:val="24"/>
        </w:rPr>
        <w:t>W</w:t>
      </w:r>
      <w:r w:rsidR="001C47F5">
        <w:rPr>
          <w:rFonts w:cs="Arial"/>
          <w:sz w:val="24"/>
        </w:rPr>
        <w:t xml:space="preserve">here </w:t>
      </w:r>
      <w:r>
        <w:rPr>
          <w:rFonts w:cs="Arial"/>
          <w:sz w:val="24"/>
        </w:rPr>
        <w:t>an</w:t>
      </w:r>
      <w:r w:rsidR="001C47F5">
        <w:rPr>
          <w:rFonts w:cs="Arial"/>
          <w:sz w:val="24"/>
        </w:rPr>
        <w:t xml:space="preserve"> employee</w:t>
      </w:r>
      <w:r>
        <w:rPr>
          <w:rFonts w:cs="Arial"/>
          <w:sz w:val="24"/>
        </w:rPr>
        <w:t xml:space="preserve"> </w:t>
      </w:r>
      <w:proofErr w:type="gramStart"/>
      <w:r>
        <w:rPr>
          <w:rFonts w:cs="Arial"/>
          <w:sz w:val="24"/>
        </w:rPr>
        <w:t>is classified</w:t>
      </w:r>
      <w:proofErr w:type="gramEnd"/>
      <w:r>
        <w:rPr>
          <w:rFonts w:cs="Arial"/>
          <w:sz w:val="24"/>
        </w:rPr>
        <w:t xml:space="preserve"> as CEV but</w:t>
      </w:r>
      <w:r w:rsidR="001C47F5">
        <w:rPr>
          <w:rFonts w:cs="Arial"/>
          <w:sz w:val="24"/>
        </w:rPr>
        <w:t xml:space="preserve"> is </w:t>
      </w:r>
      <w:r w:rsidR="001C47F5" w:rsidRPr="00E96250">
        <w:rPr>
          <w:rFonts w:cs="Arial"/>
          <w:i/>
          <w:iCs/>
          <w:sz w:val="24"/>
        </w:rPr>
        <w:t>not</w:t>
      </w:r>
      <w:r w:rsidR="001C47F5">
        <w:rPr>
          <w:rFonts w:cs="Arial"/>
          <w:sz w:val="24"/>
        </w:rPr>
        <w:t xml:space="preserve"> fit for work, the absence should be classified as a sickness absence and they should be appropriately managed through the Absence and Wellbeing procedure.</w:t>
      </w:r>
      <w:r w:rsidR="00427789">
        <w:rPr>
          <w:rFonts w:cs="Arial"/>
          <w:sz w:val="24"/>
        </w:rPr>
        <w:t xml:space="preserve"> Managers must be mindful that an </w:t>
      </w:r>
      <w:proofErr w:type="gramStart"/>
      <w:r w:rsidR="00427789">
        <w:rPr>
          <w:rFonts w:cs="Arial"/>
          <w:sz w:val="24"/>
        </w:rPr>
        <w:t>employees</w:t>
      </w:r>
      <w:proofErr w:type="gramEnd"/>
      <w:r w:rsidR="00427789">
        <w:rPr>
          <w:rFonts w:cs="Arial"/>
          <w:sz w:val="24"/>
        </w:rPr>
        <w:t xml:space="preserve"> health condition which means they are CEV may be classed as a disability under the Equalities act 2010. </w:t>
      </w:r>
    </w:p>
    <w:p w14:paraId="32425052" w14:textId="59213024" w:rsidR="00213773" w:rsidRDefault="0053331E" w:rsidP="00AC598F">
      <w:pPr>
        <w:spacing w:line="240" w:lineRule="auto"/>
        <w:jc w:val="both"/>
        <w:rPr>
          <w:rFonts w:cs="Arial"/>
          <w:sz w:val="24"/>
        </w:rPr>
      </w:pPr>
      <w:r>
        <w:rPr>
          <w:rFonts w:cs="Arial"/>
          <w:sz w:val="24"/>
        </w:rPr>
        <w:t xml:space="preserve"> </w:t>
      </w:r>
      <w:r w:rsidR="00213773">
        <w:rPr>
          <w:rFonts w:cs="Arial"/>
          <w:sz w:val="24"/>
        </w:rPr>
        <w:t xml:space="preserve"> </w:t>
      </w:r>
    </w:p>
    <w:p w14:paraId="6F523092" w14:textId="52F3BB3A" w:rsidR="00784F85" w:rsidRDefault="00213773" w:rsidP="00AC598F">
      <w:pPr>
        <w:spacing w:line="240" w:lineRule="auto"/>
        <w:jc w:val="both"/>
        <w:rPr>
          <w:rFonts w:cs="Arial"/>
          <w:sz w:val="24"/>
        </w:rPr>
      </w:pPr>
      <w:r>
        <w:rPr>
          <w:rFonts w:cs="Arial"/>
          <w:sz w:val="24"/>
        </w:rPr>
        <w:t xml:space="preserve">Whenever an individual classified as CEV returns to </w:t>
      </w:r>
      <w:r w:rsidR="00E96250">
        <w:rPr>
          <w:rFonts w:cs="Arial"/>
          <w:sz w:val="24"/>
        </w:rPr>
        <w:t>a physical</w:t>
      </w:r>
      <w:r>
        <w:rPr>
          <w:rFonts w:cs="Arial"/>
          <w:sz w:val="24"/>
        </w:rPr>
        <w:t xml:space="preserve"> workplace an individual r</w:t>
      </w:r>
      <w:r w:rsidR="00784F85" w:rsidRPr="00784F85">
        <w:rPr>
          <w:rFonts w:cs="Arial"/>
          <w:sz w:val="24"/>
        </w:rPr>
        <w:t>isk assessment</w:t>
      </w:r>
      <w:r w:rsidR="001C47F5">
        <w:rPr>
          <w:rFonts w:cs="Arial"/>
          <w:sz w:val="24"/>
        </w:rPr>
        <w:t xml:space="preserve"> </w:t>
      </w:r>
      <w:r w:rsidR="009C1BE1">
        <w:rPr>
          <w:rFonts w:cs="Arial"/>
          <w:sz w:val="24"/>
        </w:rPr>
        <w:t>must</w:t>
      </w:r>
      <w:r w:rsidR="004E10C3">
        <w:rPr>
          <w:rFonts w:cs="Arial"/>
          <w:sz w:val="24"/>
        </w:rPr>
        <w:t xml:space="preserve"> be in place. </w:t>
      </w:r>
      <w:r>
        <w:rPr>
          <w:rFonts w:cs="Arial"/>
          <w:sz w:val="24"/>
        </w:rPr>
        <w:t xml:space="preserve">In the event </w:t>
      </w:r>
      <w:r w:rsidR="00B23D43">
        <w:rPr>
          <w:rFonts w:cs="Arial"/>
          <w:sz w:val="24"/>
        </w:rPr>
        <w:t xml:space="preserve">that a manager becomes aware </w:t>
      </w:r>
      <w:r w:rsidR="001C47F5">
        <w:rPr>
          <w:rFonts w:cs="Arial"/>
          <w:sz w:val="24"/>
        </w:rPr>
        <w:t xml:space="preserve">of </w:t>
      </w:r>
      <w:r>
        <w:rPr>
          <w:rFonts w:cs="Arial"/>
          <w:sz w:val="24"/>
        </w:rPr>
        <w:t xml:space="preserve">changes to a </w:t>
      </w:r>
      <w:r w:rsidR="00B23D43">
        <w:rPr>
          <w:rFonts w:cs="Arial"/>
          <w:sz w:val="24"/>
        </w:rPr>
        <w:t xml:space="preserve">team member’s </w:t>
      </w:r>
      <w:r>
        <w:rPr>
          <w:rFonts w:cs="Arial"/>
          <w:sz w:val="24"/>
        </w:rPr>
        <w:t xml:space="preserve">health that may </w:t>
      </w:r>
      <w:r w:rsidR="001C47F5">
        <w:rPr>
          <w:rFonts w:cs="Arial"/>
          <w:sz w:val="24"/>
        </w:rPr>
        <w:t>affect</w:t>
      </w:r>
      <w:r>
        <w:rPr>
          <w:rFonts w:cs="Arial"/>
          <w:sz w:val="24"/>
        </w:rPr>
        <w:t xml:space="preserve"> their classification as CEV, a new risk assessment will need to </w:t>
      </w:r>
      <w:proofErr w:type="gramStart"/>
      <w:r>
        <w:rPr>
          <w:rFonts w:cs="Arial"/>
          <w:sz w:val="24"/>
        </w:rPr>
        <w:t>be performed</w:t>
      </w:r>
      <w:proofErr w:type="gramEnd"/>
      <w:r w:rsidR="00B23D43">
        <w:rPr>
          <w:rFonts w:cs="Arial"/>
          <w:sz w:val="24"/>
        </w:rPr>
        <w:t xml:space="preserve"> to ensure advice from Occupational Health is accurate and up-to-date</w:t>
      </w:r>
      <w:r>
        <w:rPr>
          <w:rFonts w:cs="Arial"/>
          <w:sz w:val="24"/>
        </w:rPr>
        <w:t>.</w:t>
      </w:r>
    </w:p>
    <w:p w14:paraId="6B627C28" w14:textId="3C41ED70" w:rsidR="00E018A0" w:rsidRDefault="00E018A0" w:rsidP="00AC598F">
      <w:pPr>
        <w:spacing w:line="240" w:lineRule="auto"/>
        <w:jc w:val="both"/>
        <w:rPr>
          <w:rFonts w:cs="Arial"/>
          <w:sz w:val="24"/>
        </w:rPr>
      </w:pPr>
    </w:p>
    <w:p w14:paraId="1DF95837" w14:textId="43409723" w:rsidR="00E018A0" w:rsidRDefault="00E018A0" w:rsidP="00E018A0">
      <w:pPr>
        <w:spacing w:line="240" w:lineRule="auto"/>
        <w:jc w:val="both"/>
        <w:rPr>
          <w:rFonts w:ascii="Arial Black" w:hAnsi="Arial Black" w:cs="Arial"/>
          <w:color w:val="31849B"/>
          <w:sz w:val="28"/>
          <w:szCs w:val="28"/>
        </w:rPr>
      </w:pPr>
      <w:r>
        <w:rPr>
          <w:rFonts w:ascii="Arial Black" w:hAnsi="Arial Black" w:cs="Arial"/>
          <w:color w:val="31849B"/>
          <w:sz w:val="28"/>
          <w:szCs w:val="28"/>
        </w:rPr>
        <w:t xml:space="preserve">Pregnant employees </w:t>
      </w:r>
    </w:p>
    <w:p w14:paraId="483EB289" w14:textId="6106DB6C" w:rsidR="00E018A0" w:rsidRDefault="00E018A0" w:rsidP="00AC598F">
      <w:pPr>
        <w:spacing w:line="240" w:lineRule="auto"/>
        <w:jc w:val="both"/>
        <w:rPr>
          <w:rFonts w:cs="Arial"/>
          <w:sz w:val="24"/>
        </w:rPr>
      </w:pPr>
      <w:proofErr w:type="gramStart"/>
      <w:r>
        <w:rPr>
          <w:rFonts w:cs="Arial"/>
          <w:sz w:val="24"/>
        </w:rPr>
        <w:t>Any employee who is pregnant</w:t>
      </w:r>
      <w:proofErr w:type="gramEnd"/>
      <w:r>
        <w:rPr>
          <w:rFonts w:cs="Arial"/>
          <w:sz w:val="24"/>
        </w:rPr>
        <w:t xml:space="preserve"> must have an individual risk assessment in place and this must be updated as and when needed. If an employee who is over 28</w:t>
      </w:r>
      <w:r w:rsidR="002369A6">
        <w:rPr>
          <w:rFonts w:cs="Arial"/>
          <w:sz w:val="24"/>
        </w:rPr>
        <w:t xml:space="preserve"> </w:t>
      </w:r>
      <w:r>
        <w:rPr>
          <w:rFonts w:cs="Arial"/>
          <w:sz w:val="24"/>
        </w:rPr>
        <w:t xml:space="preserve">weeks pregnant </w:t>
      </w:r>
      <w:proofErr w:type="gramStart"/>
      <w:r>
        <w:rPr>
          <w:rFonts w:cs="Arial"/>
          <w:sz w:val="24"/>
        </w:rPr>
        <w:t>is advised</w:t>
      </w:r>
      <w:proofErr w:type="gramEnd"/>
      <w:r>
        <w:rPr>
          <w:rFonts w:cs="Arial"/>
          <w:sz w:val="24"/>
        </w:rPr>
        <w:t xml:space="preserve"> by a medical professional to stay at home, then they must be recorded as shielding not sickness absence. If the employee is fit to work, then they should be given work to do from </w:t>
      </w:r>
      <w:proofErr w:type="gramStart"/>
      <w:r>
        <w:rPr>
          <w:rFonts w:cs="Arial"/>
          <w:sz w:val="24"/>
        </w:rPr>
        <w:t>home which</w:t>
      </w:r>
      <w:proofErr w:type="gramEnd"/>
      <w:r>
        <w:rPr>
          <w:rFonts w:cs="Arial"/>
          <w:sz w:val="24"/>
        </w:rPr>
        <w:t xml:space="preserve"> may include alternative duties if they cannot do their normal duties from home. </w:t>
      </w:r>
    </w:p>
    <w:p w14:paraId="1F2F009C" w14:textId="693726BA" w:rsidR="00E018A0" w:rsidRDefault="00E018A0" w:rsidP="00AC598F">
      <w:pPr>
        <w:spacing w:line="240" w:lineRule="auto"/>
        <w:jc w:val="both"/>
        <w:rPr>
          <w:rFonts w:cs="Arial"/>
          <w:sz w:val="24"/>
        </w:rPr>
      </w:pPr>
    </w:p>
    <w:p w14:paraId="03D5A768" w14:textId="5F77A631" w:rsidR="00E018A0" w:rsidRDefault="00E018A0" w:rsidP="00AC598F">
      <w:pPr>
        <w:spacing w:line="240" w:lineRule="auto"/>
        <w:jc w:val="both"/>
        <w:rPr>
          <w:rFonts w:cs="Arial"/>
          <w:sz w:val="24"/>
        </w:rPr>
      </w:pPr>
      <w:r>
        <w:rPr>
          <w:rFonts w:cs="Arial"/>
          <w:sz w:val="24"/>
        </w:rPr>
        <w:t xml:space="preserve">As per the maternity procedure if an employee who is pregnant falls ill within 4 weeks of the start of their maternity leave then the maternity leave </w:t>
      </w:r>
      <w:proofErr w:type="gramStart"/>
      <w:r>
        <w:rPr>
          <w:rFonts w:cs="Arial"/>
          <w:sz w:val="24"/>
        </w:rPr>
        <w:t>may be started</w:t>
      </w:r>
      <w:proofErr w:type="gramEnd"/>
      <w:r>
        <w:rPr>
          <w:rFonts w:cs="Arial"/>
          <w:sz w:val="24"/>
        </w:rPr>
        <w:t xml:space="preserve"> early, an employee must not be asked to start their maternity leave early unless they are ill within the last 4 weeks before their maternity leave. </w:t>
      </w:r>
    </w:p>
    <w:p w14:paraId="5831E7CE" w14:textId="0D96B5D0" w:rsidR="00E67FB4" w:rsidRDefault="00E67FB4" w:rsidP="00AC598F">
      <w:pPr>
        <w:spacing w:line="240" w:lineRule="auto"/>
        <w:jc w:val="both"/>
        <w:rPr>
          <w:rFonts w:cs="Arial"/>
          <w:sz w:val="24"/>
        </w:rPr>
      </w:pPr>
    </w:p>
    <w:p w14:paraId="09F24E47" w14:textId="6D83BEF2" w:rsidR="0003750E" w:rsidRDefault="00127096" w:rsidP="00AC598F">
      <w:pPr>
        <w:spacing w:line="240" w:lineRule="auto"/>
        <w:ind w:left="284" w:hanging="284"/>
        <w:jc w:val="both"/>
        <w:rPr>
          <w:rFonts w:ascii="Arial Black" w:hAnsi="Arial Black" w:cs="Arial"/>
          <w:color w:val="31849B"/>
          <w:sz w:val="28"/>
          <w:szCs w:val="28"/>
        </w:rPr>
      </w:pPr>
      <w:r>
        <w:rPr>
          <w:rFonts w:ascii="Arial Black" w:hAnsi="Arial Black" w:cs="Arial"/>
          <w:color w:val="31849B"/>
          <w:sz w:val="28"/>
          <w:szCs w:val="28"/>
        </w:rPr>
        <w:t xml:space="preserve">Short Term </w:t>
      </w:r>
      <w:r w:rsidR="00C052B1">
        <w:rPr>
          <w:rFonts w:ascii="Arial Black" w:hAnsi="Arial Black" w:cs="Arial"/>
          <w:color w:val="31849B"/>
          <w:sz w:val="28"/>
          <w:szCs w:val="28"/>
        </w:rPr>
        <w:t xml:space="preserve">Sickness </w:t>
      </w:r>
      <w:r>
        <w:rPr>
          <w:rFonts w:ascii="Arial Black" w:hAnsi="Arial Black" w:cs="Arial"/>
          <w:color w:val="31849B"/>
          <w:sz w:val="28"/>
          <w:szCs w:val="28"/>
        </w:rPr>
        <w:t>Absence Due to COVID-1</w:t>
      </w:r>
      <w:r w:rsidR="00CF1861">
        <w:rPr>
          <w:rFonts w:ascii="Arial Black" w:hAnsi="Arial Black" w:cs="Arial"/>
          <w:color w:val="31849B"/>
          <w:sz w:val="28"/>
          <w:szCs w:val="28"/>
        </w:rPr>
        <w:t>9</w:t>
      </w:r>
    </w:p>
    <w:p w14:paraId="12BFD815" w14:textId="77777777" w:rsidR="00AC598F" w:rsidRPr="00644759" w:rsidRDefault="00AC598F" w:rsidP="00AC598F">
      <w:pPr>
        <w:spacing w:line="240" w:lineRule="auto"/>
        <w:ind w:left="284" w:hanging="284"/>
        <w:jc w:val="both"/>
        <w:rPr>
          <w:rFonts w:ascii="Arial Black" w:hAnsi="Arial Black" w:cs="Arial"/>
          <w:color w:val="31849B"/>
          <w:sz w:val="28"/>
          <w:szCs w:val="28"/>
        </w:rPr>
      </w:pPr>
    </w:p>
    <w:p w14:paraId="0C4DBB34" w14:textId="46AA269B" w:rsidR="006B670F" w:rsidRPr="001562F7" w:rsidRDefault="00E275F4" w:rsidP="00AC598F">
      <w:pPr>
        <w:pStyle w:val="NormalWeb"/>
        <w:spacing w:line="240" w:lineRule="auto"/>
        <w:rPr>
          <w:rFonts w:ascii="Arial" w:hAnsi="Arial" w:cs="Arial"/>
          <w:color w:val="333333"/>
          <w:lang w:val="en"/>
        </w:rPr>
      </w:pPr>
      <w:r>
        <w:rPr>
          <w:rFonts w:ascii="Arial" w:hAnsi="Arial" w:cs="Arial"/>
          <w:color w:val="333333"/>
          <w:lang w:val="en"/>
        </w:rPr>
        <w:t xml:space="preserve">An absence is considered short term until it reaches 28 days in duration. </w:t>
      </w:r>
      <w:r w:rsidR="001562F7" w:rsidRPr="001562F7">
        <w:rPr>
          <w:rFonts w:ascii="Arial" w:hAnsi="Arial" w:cs="Arial"/>
          <w:color w:val="333333"/>
          <w:lang w:val="en"/>
        </w:rPr>
        <w:t xml:space="preserve">An employee's first instance of short-term </w:t>
      </w:r>
      <w:r w:rsidR="00DE2264">
        <w:rPr>
          <w:rFonts w:ascii="Arial" w:hAnsi="Arial" w:cs="Arial"/>
          <w:color w:val="333333"/>
          <w:lang w:val="en"/>
        </w:rPr>
        <w:t xml:space="preserve">sickness </w:t>
      </w:r>
      <w:r w:rsidR="001562F7" w:rsidRPr="001562F7">
        <w:rPr>
          <w:rFonts w:ascii="Arial" w:hAnsi="Arial" w:cs="Arial"/>
          <w:color w:val="333333"/>
          <w:lang w:val="en"/>
        </w:rPr>
        <w:t xml:space="preserve">absence due to COVID-19 (suspected or confirmed) </w:t>
      </w:r>
      <w:proofErr w:type="gramStart"/>
      <w:r w:rsidR="004E10C3">
        <w:rPr>
          <w:rFonts w:ascii="Arial" w:hAnsi="Arial" w:cs="Arial"/>
          <w:color w:val="333333"/>
          <w:lang w:val="en"/>
        </w:rPr>
        <w:t>should</w:t>
      </w:r>
      <w:r w:rsidR="001562F7" w:rsidRPr="001562F7">
        <w:rPr>
          <w:rFonts w:ascii="Arial" w:hAnsi="Arial" w:cs="Arial"/>
          <w:color w:val="333333"/>
          <w:lang w:val="en"/>
        </w:rPr>
        <w:t xml:space="preserve"> be discounted</w:t>
      </w:r>
      <w:proofErr w:type="gramEnd"/>
      <w:r w:rsidR="001562F7" w:rsidRPr="001562F7">
        <w:rPr>
          <w:rFonts w:ascii="Arial" w:hAnsi="Arial" w:cs="Arial"/>
          <w:color w:val="333333"/>
          <w:lang w:val="en"/>
        </w:rPr>
        <w:t xml:space="preserve"> from targets or triggers </w:t>
      </w:r>
      <w:bookmarkStart w:id="1" w:name="_Hlk68856154"/>
      <w:r w:rsidR="001562F7" w:rsidRPr="001562F7">
        <w:rPr>
          <w:rFonts w:ascii="Arial" w:hAnsi="Arial" w:cs="Arial"/>
          <w:color w:val="333333"/>
          <w:lang w:val="en"/>
        </w:rPr>
        <w:t>in relation to the Absence and Wellbeing procedure.</w:t>
      </w:r>
      <w:r w:rsidR="00093681">
        <w:rPr>
          <w:rFonts w:ascii="Arial" w:hAnsi="Arial" w:cs="Arial"/>
          <w:color w:val="333333"/>
          <w:lang w:val="en"/>
        </w:rPr>
        <w:t xml:space="preserve"> </w:t>
      </w:r>
      <w:r w:rsidR="006C2BCC">
        <w:rPr>
          <w:rFonts w:ascii="Arial" w:hAnsi="Arial" w:cs="Arial"/>
          <w:color w:val="333333"/>
          <w:lang w:val="en"/>
        </w:rPr>
        <w:t xml:space="preserve">Triggers </w:t>
      </w:r>
      <w:proofErr w:type="gramStart"/>
      <w:r w:rsidR="006C2BCC">
        <w:rPr>
          <w:rFonts w:ascii="Arial" w:hAnsi="Arial" w:cs="Arial"/>
          <w:color w:val="333333"/>
          <w:lang w:val="en"/>
        </w:rPr>
        <w:t>should also be discounted</w:t>
      </w:r>
      <w:proofErr w:type="gramEnd"/>
      <w:r w:rsidR="005632BC">
        <w:rPr>
          <w:rFonts w:ascii="Arial" w:hAnsi="Arial" w:cs="Arial"/>
          <w:color w:val="333333"/>
          <w:lang w:val="en"/>
        </w:rPr>
        <w:t xml:space="preserve"> </w:t>
      </w:r>
      <w:bookmarkEnd w:id="1"/>
      <w:r w:rsidR="005632BC">
        <w:rPr>
          <w:rFonts w:ascii="Arial" w:hAnsi="Arial" w:cs="Arial"/>
          <w:color w:val="333333"/>
          <w:lang w:val="en"/>
        </w:rPr>
        <w:t>w</w:t>
      </w:r>
      <w:r w:rsidR="00DB1700" w:rsidRPr="006B670F">
        <w:rPr>
          <w:rFonts w:ascii="Arial" w:hAnsi="Arial" w:cs="Arial"/>
          <w:color w:val="333333"/>
          <w:lang w:val="en"/>
        </w:rPr>
        <w:t>here employees are absent due to an adverse reaction to a Covid-19 vaccination (usually one or two days)</w:t>
      </w:r>
      <w:r w:rsidR="005632BC">
        <w:rPr>
          <w:rFonts w:ascii="Arial" w:hAnsi="Arial" w:cs="Arial"/>
          <w:color w:val="333333"/>
          <w:lang w:val="en"/>
        </w:rPr>
        <w:t>. Mangers should record these absences under the</w:t>
      </w:r>
      <w:r w:rsidR="00DB1700" w:rsidRPr="006B670F">
        <w:rPr>
          <w:rFonts w:ascii="Arial" w:hAnsi="Arial" w:cs="Arial"/>
          <w:color w:val="333333"/>
          <w:lang w:val="en"/>
        </w:rPr>
        <w:t xml:space="preserve"> ‘vaccine reaction’ </w:t>
      </w:r>
      <w:r w:rsidR="005632BC">
        <w:rPr>
          <w:rFonts w:ascii="Arial" w:hAnsi="Arial" w:cs="Arial"/>
          <w:color w:val="333333"/>
          <w:lang w:val="en"/>
        </w:rPr>
        <w:t xml:space="preserve">option </w:t>
      </w:r>
      <w:r w:rsidR="00DB1700" w:rsidRPr="006B670F">
        <w:rPr>
          <w:rFonts w:ascii="Arial" w:hAnsi="Arial" w:cs="Arial"/>
          <w:color w:val="333333"/>
          <w:lang w:val="en"/>
        </w:rPr>
        <w:t xml:space="preserve">in </w:t>
      </w:r>
      <w:proofErr w:type="spellStart"/>
      <w:r w:rsidR="00AC598F">
        <w:rPr>
          <w:rFonts w:ascii="Arial" w:hAnsi="Arial" w:cs="Arial"/>
          <w:color w:val="333333"/>
          <w:lang w:val="en"/>
        </w:rPr>
        <w:t>It</w:t>
      </w:r>
      <w:r w:rsidR="00DB1700" w:rsidRPr="006B670F">
        <w:rPr>
          <w:rFonts w:ascii="Arial" w:hAnsi="Arial" w:cs="Arial"/>
          <w:color w:val="333333"/>
          <w:lang w:val="en"/>
        </w:rPr>
        <w:t>rent</w:t>
      </w:r>
      <w:proofErr w:type="spellEnd"/>
      <w:r w:rsidR="006B670F">
        <w:rPr>
          <w:rFonts w:ascii="Arial" w:hAnsi="Arial" w:cs="Arial"/>
          <w:color w:val="333333"/>
          <w:lang w:val="en"/>
        </w:rPr>
        <w:t>. Schools should select the most appropriate absence reason available under their own recording system</w:t>
      </w:r>
      <w:r w:rsidR="00DB1700" w:rsidRPr="006B670F">
        <w:rPr>
          <w:rFonts w:ascii="Arial" w:hAnsi="Arial" w:cs="Arial"/>
          <w:color w:val="333333"/>
          <w:lang w:val="en"/>
        </w:rPr>
        <w:t xml:space="preserve">. </w:t>
      </w:r>
    </w:p>
    <w:p w14:paraId="4A210665" w14:textId="1D136C52" w:rsidR="00DB1700" w:rsidRDefault="00DB1700" w:rsidP="00AC598F">
      <w:pPr>
        <w:pStyle w:val="NoSpacing"/>
        <w:rPr>
          <w:rFonts w:cs="Arial"/>
          <w:color w:val="333333"/>
          <w:sz w:val="24"/>
          <w:lang w:val="en"/>
        </w:rPr>
      </w:pPr>
    </w:p>
    <w:p w14:paraId="460C6801" w14:textId="78890053" w:rsidR="0003750E" w:rsidRDefault="001562F7" w:rsidP="00AC598F">
      <w:pPr>
        <w:spacing w:line="240" w:lineRule="auto"/>
        <w:rPr>
          <w:rFonts w:cs="Arial"/>
          <w:color w:val="333333"/>
          <w:sz w:val="24"/>
          <w:lang w:val="en"/>
        </w:rPr>
      </w:pPr>
      <w:r>
        <w:rPr>
          <w:rFonts w:cs="Arial"/>
          <w:color w:val="333333"/>
          <w:sz w:val="24"/>
          <w:lang w:val="en"/>
        </w:rPr>
        <w:t>Subsequent instances of short-term</w:t>
      </w:r>
      <w:r w:rsidR="00C052B1">
        <w:rPr>
          <w:rFonts w:cs="Arial"/>
          <w:color w:val="333333"/>
          <w:sz w:val="24"/>
          <w:lang w:val="en"/>
        </w:rPr>
        <w:t xml:space="preserve"> sickness</w:t>
      </w:r>
      <w:r>
        <w:rPr>
          <w:rFonts w:cs="Arial"/>
          <w:color w:val="333333"/>
          <w:sz w:val="24"/>
          <w:lang w:val="en"/>
        </w:rPr>
        <w:t xml:space="preserve"> absence due to COVID-19 </w:t>
      </w:r>
      <w:proofErr w:type="gramStart"/>
      <w:r w:rsidR="004E10C3">
        <w:rPr>
          <w:rFonts w:cs="Arial"/>
          <w:color w:val="333333"/>
          <w:sz w:val="24"/>
          <w:lang w:val="en"/>
        </w:rPr>
        <w:t>should</w:t>
      </w:r>
      <w:r>
        <w:rPr>
          <w:rFonts w:cs="Arial"/>
          <w:color w:val="333333"/>
          <w:sz w:val="24"/>
          <w:lang w:val="en"/>
        </w:rPr>
        <w:t xml:space="preserve"> usually be managed</w:t>
      </w:r>
      <w:proofErr w:type="gramEnd"/>
      <w:r>
        <w:rPr>
          <w:rFonts w:cs="Arial"/>
          <w:color w:val="333333"/>
          <w:sz w:val="24"/>
          <w:lang w:val="en"/>
        </w:rPr>
        <w:t xml:space="preserve"> as normal in line with the Absence and Wellbeing procedure, counting towards any targets or triggers currently in place. However</w:t>
      </w:r>
      <w:r w:rsidR="001B451E">
        <w:rPr>
          <w:rFonts w:cs="Arial"/>
          <w:color w:val="333333"/>
          <w:sz w:val="24"/>
          <w:lang w:val="en"/>
        </w:rPr>
        <w:t>,</w:t>
      </w:r>
      <w:r w:rsidR="001B451E" w:rsidRPr="001B451E">
        <w:rPr>
          <w:rFonts w:eastAsia="Calibri" w:cs="Arial"/>
          <w:sz w:val="24"/>
        </w:rPr>
        <w:t xml:space="preserve"> due to the ongoing pandemic consideration </w:t>
      </w:r>
      <w:proofErr w:type="gramStart"/>
      <w:r w:rsidR="001B451E" w:rsidRPr="001B451E">
        <w:rPr>
          <w:rFonts w:eastAsia="Calibri" w:cs="Arial"/>
          <w:sz w:val="24"/>
        </w:rPr>
        <w:t>should be given</w:t>
      </w:r>
      <w:proofErr w:type="gramEnd"/>
      <w:r w:rsidR="001B451E" w:rsidRPr="001B451E">
        <w:rPr>
          <w:rFonts w:eastAsia="Calibri" w:cs="Arial"/>
          <w:sz w:val="24"/>
        </w:rPr>
        <w:t xml:space="preserve"> to determine the appropriateness of discounting further sickness absence due to COVID-19.</w:t>
      </w:r>
      <w:r w:rsidR="004E10C3">
        <w:rPr>
          <w:rFonts w:cs="Arial"/>
          <w:color w:val="333333"/>
          <w:sz w:val="24"/>
          <w:lang w:val="en"/>
        </w:rPr>
        <w:t xml:space="preserve"> In this case, man</w:t>
      </w:r>
      <w:r w:rsidR="0050346D">
        <w:rPr>
          <w:rFonts w:cs="Arial"/>
          <w:color w:val="333333"/>
          <w:sz w:val="24"/>
          <w:lang w:val="en"/>
        </w:rPr>
        <w:t>a</w:t>
      </w:r>
      <w:r w:rsidR="004E10C3">
        <w:rPr>
          <w:rFonts w:cs="Arial"/>
          <w:color w:val="333333"/>
          <w:sz w:val="24"/>
          <w:lang w:val="en"/>
        </w:rPr>
        <w:t>gers should seek advice from People Management</w:t>
      </w:r>
      <w:r w:rsidR="005632BC">
        <w:rPr>
          <w:rFonts w:cs="Arial"/>
          <w:color w:val="333333"/>
          <w:sz w:val="24"/>
          <w:lang w:val="en"/>
        </w:rPr>
        <w:t>/</w:t>
      </w:r>
      <w:r w:rsidR="00427789">
        <w:rPr>
          <w:rFonts w:cs="Arial"/>
          <w:color w:val="333333"/>
          <w:sz w:val="24"/>
          <w:lang w:val="en"/>
        </w:rPr>
        <w:t>S</w:t>
      </w:r>
      <w:r w:rsidR="005632BC">
        <w:rPr>
          <w:rFonts w:cs="Arial"/>
          <w:color w:val="333333"/>
          <w:sz w:val="24"/>
          <w:lang w:val="en"/>
        </w:rPr>
        <w:t>chool’s HR provider</w:t>
      </w:r>
      <w:r w:rsidR="004E10C3">
        <w:rPr>
          <w:rFonts w:cs="Arial"/>
          <w:color w:val="333333"/>
          <w:sz w:val="24"/>
          <w:lang w:val="en"/>
        </w:rPr>
        <w:t xml:space="preserve">. </w:t>
      </w:r>
    </w:p>
    <w:p w14:paraId="3D294F53" w14:textId="74D507A1" w:rsidR="009739CD" w:rsidRDefault="009739CD" w:rsidP="00AC598F">
      <w:pPr>
        <w:spacing w:line="240" w:lineRule="auto"/>
        <w:rPr>
          <w:rFonts w:cs="Arial"/>
          <w:color w:val="333333"/>
          <w:sz w:val="24"/>
          <w:lang w:val="en"/>
        </w:rPr>
      </w:pPr>
    </w:p>
    <w:p w14:paraId="5C345AA0" w14:textId="58AA6514" w:rsidR="00097CC2" w:rsidRDefault="009739CD" w:rsidP="00097CC2">
      <w:pPr>
        <w:spacing w:line="240" w:lineRule="auto"/>
        <w:jc w:val="both"/>
        <w:rPr>
          <w:rFonts w:cs="Arial"/>
          <w:sz w:val="24"/>
        </w:rPr>
      </w:pPr>
      <w:r>
        <w:rPr>
          <w:rFonts w:cs="Arial"/>
          <w:color w:val="333333"/>
          <w:sz w:val="24"/>
          <w:lang w:val="en"/>
        </w:rPr>
        <w:t>Absences due to self-isolation</w:t>
      </w:r>
      <w:r w:rsidR="00097CC2">
        <w:rPr>
          <w:rFonts w:cs="Arial"/>
          <w:color w:val="333333"/>
          <w:sz w:val="24"/>
          <w:lang w:val="en"/>
        </w:rPr>
        <w:t xml:space="preserve"> do not come under this guidance and</w:t>
      </w:r>
      <w:r w:rsidR="00E55A46">
        <w:rPr>
          <w:rFonts w:cs="Arial"/>
          <w:color w:val="333333"/>
          <w:sz w:val="24"/>
          <w:lang w:val="en"/>
        </w:rPr>
        <w:t xml:space="preserve"> they</w:t>
      </w:r>
      <w:r w:rsidR="00097CC2">
        <w:rPr>
          <w:rFonts w:cs="Arial"/>
          <w:color w:val="333333"/>
          <w:sz w:val="24"/>
          <w:lang w:val="en"/>
        </w:rPr>
        <w:t xml:space="preserve"> do not count towards </w:t>
      </w:r>
      <w:proofErr w:type="gramStart"/>
      <w:r w:rsidR="00097CC2">
        <w:rPr>
          <w:rFonts w:cs="Arial"/>
          <w:color w:val="333333"/>
          <w:sz w:val="24"/>
          <w:lang w:val="en"/>
        </w:rPr>
        <w:t>triggers</w:t>
      </w:r>
      <w:proofErr w:type="gramEnd"/>
      <w:r w:rsidR="00097CC2">
        <w:rPr>
          <w:rFonts w:cs="Arial"/>
          <w:color w:val="333333"/>
          <w:sz w:val="24"/>
          <w:lang w:val="en"/>
        </w:rPr>
        <w:t xml:space="preserve"> as they are not sickness absences. For further information on self-isolation, please refer to the </w:t>
      </w:r>
      <w:r w:rsidR="00097CC2">
        <w:rPr>
          <w:rFonts w:cs="Arial"/>
          <w:sz w:val="24"/>
        </w:rPr>
        <w:t xml:space="preserve">most up-to-date version of the Coronavirus FAQ’s. </w:t>
      </w:r>
      <w:hyperlink r:id="rId10" w:history="1">
        <w:r w:rsidR="00DD1736" w:rsidRPr="00DD1736">
          <w:rPr>
            <w:color w:val="0000FF"/>
            <w:u w:val="single"/>
          </w:rPr>
          <w:t>Coronavirus - Employees Frequently Asked Questions | Cumbria County Council</w:t>
        </w:r>
      </w:hyperlink>
    </w:p>
    <w:p w14:paraId="19E8E849" w14:textId="784F4AC8" w:rsidR="00527CB4" w:rsidRDefault="00097CC2" w:rsidP="00AC598F">
      <w:pPr>
        <w:spacing w:line="240" w:lineRule="auto"/>
        <w:rPr>
          <w:rFonts w:cs="Arial"/>
          <w:color w:val="333333"/>
          <w:sz w:val="24"/>
          <w:lang w:val="en"/>
        </w:rPr>
      </w:pPr>
      <w:r>
        <w:rPr>
          <w:rFonts w:cs="Arial"/>
          <w:color w:val="333333"/>
          <w:sz w:val="24"/>
          <w:lang w:val="en"/>
        </w:rPr>
        <w:t xml:space="preserve"> </w:t>
      </w:r>
    </w:p>
    <w:p w14:paraId="53839796" w14:textId="733CEB4F" w:rsidR="008628CE" w:rsidRDefault="00127096" w:rsidP="00AC598F">
      <w:pPr>
        <w:spacing w:line="240" w:lineRule="auto"/>
        <w:ind w:left="284" w:hanging="284"/>
        <w:jc w:val="both"/>
        <w:rPr>
          <w:rFonts w:ascii="Arial Black" w:hAnsi="Arial Black" w:cs="Arial"/>
          <w:color w:val="31849B"/>
          <w:sz w:val="28"/>
          <w:szCs w:val="28"/>
        </w:rPr>
      </w:pPr>
      <w:r>
        <w:rPr>
          <w:rFonts w:ascii="Arial Black" w:hAnsi="Arial Black" w:cs="Arial"/>
          <w:color w:val="31849B"/>
          <w:sz w:val="28"/>
          <w:szCs w:val="28"/>
        </w:rPr>
        <w:t>Long Term</w:t>
      </w:r>
      <w:r w:rsidR="00C052B1">
        <w:rPr>
          <w:rFonts w:ascii="Arial Black" w:hAnsi="Arial Black" w:cs="Arial"/>
          <w:color w:val="31849B"/>
          <w:sz w:val="28"/>
          <w:szCs w:val="28"/>
        </w:rPr>
        <w:t xml:space="preserve"> Sickness</w:t>
      </w:r>
      <w:r>
        <w:rPr>
          <w:rFonts w:ascii="Arial Black" w:hAnsi="Arial Black" w:cs="Arial"/>
          <w:color w:val="31849B"/>
          <w:sz w:val="28"/>
          <w:szCs w:val="28"/>
        </w:rPr>
        <w:t xml:space="preserve"> Absence Due to COVID-19</w:t>
      </w:r>
    </w:p>
    <w:p w14:paraId="19AEE4F9" w14:textId="77777777" w:rsidR="008628CE" w:rsidRDefault="008628CE" w:rsidP="00AC598F">
      <w:pPr>
        <w:spacing w:line="240" w:lineRule="auto"/>
        <w:ind w:left="284" w:hanging="284"/>
        <w:jc w:val="both"/>
        <w:rPr>
          <w:rFonts w:ascii="Arial Black" w:hAnsi="Arial Black" w:cs="Arial"/>
          <w:color w:val="31849B"/>
          <w:sz w:val="28"/>
          <w:szCs w:val="28"/>
        </w:rPr>
      </w:pPr>
    </w:p>
    <w:p w14:paraId="48A97AB4" w14:textId="0FDFD723" w:rsidR="008E324E" w:rsidRDefault="0066221A" w:rsidP="00AC598F">
      <w:pPr>
        <w:spacing w:line="240" w:lineRule="auto"/>
        <w:jc w:val="both"/>
        <w:rPr>
          <w:rFonts w:cs="Arial"/>
          <w:color w:val="333333"/>
          <w:sz w:val="24"/>
          <w:lang w:val="en"/>
        </w:rPr>
      </w:pPr>
      <w:r w:rsidRPr="0066221A">
        <w:rPr>
          <w:rFonts w:cs="Arial"/>
          <w:color w:val="333333"/>
          <w:sz w:val="24"/>
          <w:lang w:val="en"/>
        </w:rPr>
        <w:t xml:space="preserve">Once a COVID-19 </w:t>
      </w:r>
      <w:r w:rsidR="00C052B1">
        <w:rPr>
          <w:rFonts w:cs="Arial"/>
          <w:color w:val="333333"/>
          <w:sz w:val="24"/>
          <w:lang w:val="en"/>
        </w:rPr>
        <w:t xml:space="preserve">sickness </w:t>
      </w:r>
      <w:r w:rsidRPr="0066221A">
        <w:rPr>
          <w:rFonts w:cs="Arial"/>
          <w:color w:val="333333"/>
          <w:sz w:val="24"/>
          <w:lang w:val="en"/>
        </w:rPr>
        <w:t>absence</w:t>
      </w:r>
      <w:r w:rsidR="00CF1861">
        <w:rPr>
          <w:rFonts w:cs="Arial"/>
          <w:color w:val="333333"/>
          <w:sz w:val="24"/>
          <w:lang w:val="en"/>
        </w:rPr>
        <w:t xml:space="preserve"> </w:t>
      </w:r>
      <w:r w:rsidR="00CF1861" w:rsidRPr="0066221A">
        <w:rPr>
          <w:rFonts w:cs="Arial"/>
          <w:color w:val="333333"/>
          <w:sz w:val="24"/>
          <w:lang w:val="en"/>
        </w:rPr>
        <w:t>(confirmed or suspected)</w:t>
      </w:r>
      <w:r w:rsidRPr="0066221A">
        <w:rPr>
          <w:rFonts w:cs="Arial"/>
          <w:color w:val="333333"/>
          <w:sz w:val="24"/>
          <w:lang w:val="en"/>
        </w:rPr>
        <w:t xml:space="preserve"> exceeds 28 calendar days, it becomes a long-term absence and managers should manage the absence in the same way as any other long-term absence, using the absence and wellbeing procedure. </w:t>
      </w:r>
      <w:r w:rsidR="00EB7FA3">
        <w:rPr>
          <w:rFonts w:cs="Arial"/>
          <w:sz w:val="24"/>
        </w:rPr>
        <w:t xml:space="preserve"> </w:t>
      </w:r>
    </w:p>
    <w:p w14:paraId="156969F1" w14:textId="77777777" w:rsidR="008E324E" w:rsidRDefault="008E324E" w:rsidP="00AC598F">
      <w:pPr>
        <w:spacing w:line="240" w:lineRule="auto"/>
        <w:jc w:val="both"/>
        <w:rPr>
          <w:rFonts w:cs="Arial"/>
          <w:color w:val="333333"/>
          <w:sz w:val="24"/>
          <w:lang w:val="en"/>
        </w:rPr>
      </w:pPr>
    </w:p>
    <w:p w14:paraId="0433E22E" w14:textId="09245B75" w:rsidR="00B675D7" w:rsidRDefault="00EB7FA3" w:rsidP="00AC598F">
      <w:pPr>
        <w:spacing w:line="240" w:lineRule="auto"/>
        <w:jc w:val="both"/>
        <w:rPr>
          <w:rFonts w:cs="Arial"/>
          <w:sz w:val="24"/>
        </w:rPr>
      </w:pPr>
      <w:r>
        <w:rPr>
          <w:rFonts w:cs="Arial"/>
          <w:sz w:val="24"/>
        </w:rPr>
        <w:t>I</w:t>
      </w:r>
      <w:r w:rsidR="008E324E">
        <w:rPr>
          <w:rFonts w:cs="Arial"/>
          <w:sz w:val="24"/>
        </w:rPr>
        <w:t>t is important to highlight that the</w:t>
      </w:r>
      <w:r w:rsidR="0066221A">
        <w:rPr>
          <w:rFonts w:cs="Arial"/>
          <w:sz w:val="24"/>
        </w:rPr>
        <w:t xml:space="preserve"> procedure for managing long-term absence under Absence and Wellbeing </w:t>
      </w:r>
      <w:proofErr w:type="gramStart"/>
      <w:r w:rsidR="0066221A">
        <w:rPr>
          <w:rFonts w:cs="Arial"/>
          <w:sz w:val="24"/>
        </w:rPr>
        <w:t>is designed</w:t>
      </w:r>
      <w:proofErr w:type="gramEnd"/>
      <w:r w:rsidR="0066221A">
        <w:rPr>
          <w:rFonts w:cs="Arial"/>
          <w:sz w:val="24"/>
        </w:rPr>
        <w:t xml:space="preserve"> to be supportive of all employees suffering</w:t>
      </w:r>
      <w:r w:rsidR="00F8739F">
        <w:rPr>
          <w:rFonts w:cs="Arial"/>
          <w:sz w:val="24"/>
        </w:rPr>
        <w:t xml:space="preserve"> a long-term sickness absence</w:t>
      </w:r>
      <w:r w:rsidR="0066221A">
        <w:rPr>
          <w:rFonts w:cs="Arial"/>
          <w:sz w:val="24"/>
        </w:rPr>
        <w:t xml:space="preserve">. </w:t>
      </w:r>
      <w:proofErr w:type="gramStart"/>
      <w:r w:rsidR="0066221A">
        <w:rPr>
          <w:rFonts w:cs="Arial"/>
          <w:sz w:val="24"/>
        </w:rPr>
        <w:t>The are</w:t>
      </w:r>
      <w:proofErr w:type="gramEnd"/>
      <w:r w:rsidR="0066221A">
        <w:rPr>
          <w:rFonts w:cs="Arial"/>
          <w:sz w:val="24"/>
        </w:rPr>
        <w:t xml:space="preserve"> no stages or warnings associated with this part of the procedure</w:t>
      </w:r>
      <w:r w:rsidR="00427789">
        <w:rPr>
          <w:rFonts w:cs="Arial"/>
          <w:sz w:val="24"/>
        </w:rPr>
        <w:t xml:space="preserve">, however the procedure can result in dismissal </w:t>
      </w:r>
      <w:r w:rsidR="00E018A0">
        <w:rPr>
          <w:rFonts w:cs="Arial"/>
          <w:sz w:val="24"/>
        </w:rPr>
        <w:t>if all other options have been exhausted</w:t>
      </w:r>
      <w:r w:rsidR="00F8739F">
        <w:rPr>
          <w:rFonts w:cs="Arial"/>
          <w:sz w:val="24"/>
        </w:rPr>
        <w:t xml:space="preserve">. </w:t>
      </w:r>
      <w:proofErr w:type="gramStart"/>
      <w:r w:rsidR="00F8739F">
        <w:rPr>
          <w:rFonts w:cs="Arial"/>
          <w:sz w:val="24"/>
        </w:rPr>
        <w:t>Instead</w:t>
      </w:r>
      <w:proofErr w:type="gramEnd"/>
      <w:r w:rsidR="00F8739F">
        <w:rPr>
          <w:rFonts w:cs="Arial"/>
          <w:sz w:val="24"/>
        </w:rPr>
        <w:t xml:space="preserve"> it gives managers direction in terms of exploring all workable support options and seeking support and guidance from Occupational Health</w:t>
      </w:r>
      <w:r w:rsidR="008E324E">
        <w:rPr>
          <w:rFonts w:cs="Arial"/>
          <w:sz w:val="24"/>
        </w:rPr>
        <w:t xml:space="preserve">. </w:t>
      </w:r>
      <w:r>
        <w:rPr>
          <w:rFonts w:cs="Arial"/>
          <w:sz w:val="24"/>
        </w:rPr>
        <w:t xml:space="preserve">Sick Pay </w:t>
      </w:r>
      <w:proofErr w:type="gramStart"/>
      <w:r>
        <w:rPr>
          <w:rFonts w:cs="Arial"/>
          <w:sz w:val="24"/>
        </w:rPr>
        <w:t>will be paid</w:t>
      </w:r>
      <w:proofErr w:type="gramEnd"/>
      <w:r>
        <w:rPr>
          <w:rFonts w:cs="Arial"/>
          <w:sz w:val="24"/>
        </w:rPr>
        <w:t xml:space="preserve"> in line with </w:t>
      </w:r>
      <w:r w:rsidR="002107C1">
        <w:rPr>
          <w:rFonts w:cs="Arial"/>
          <w:sz w:val="24"/>
        </w:rPr>
        <w:t>current</w:t>
      </w:r>
      <w:r>
        <w:rPr>
          <w:rFonts w:cs="Arial"/>
          <w:sz w:val="24"/>
        </w:rPr>
        <w:t xml:space="preserve"> entitlements</w:t>
      </w:r>
      <w:r w:rsidR="002107C1">
        <w:rPr>
          <w:rFonts w:cs="Arial"/>
          <w:sz w:val="24"/>
        </w:rPr>
        <w:t xml:space="preserve"> as set out in the procedure</w:t>
      </w:r>
      <w:r>
        <w:rPr>
          <w:rFonts w:cs="Arial"/>
          <w:sz w:val="24"/>
        </w:rPr>
        <w:t>.</w:t>
      </w:r>
    </w:p>
    <w:p w14:paraId="52D55924" w14:textId="77777777" w:rsidR="00527CB4" w:rsidRDefault="00527CB4" w:rsidP="00AC598F">
      <w:pPr>
        <w:spacing w:line="240" w:lineRule="auto"/>
        <w:jc w:val="both"/>
        <w:rPr>
          <w:rFonts w:cs="Arial"/>
          <w:sz w:val="24"/>
        </w:rPr>
      </w:pPr>
    </w:p>
    <w:p w14:paraId="2F3C0306" w14:textId="77777777" w:rsidR="00527CB4" w:rsidRDefault="00527CB4" w:rsidP="00527CB4">
      <w:pPr>
        <w:spacing w:line="240" w:lineRule="auto"/>
        <w:ind w:left="284" w:hanging="284"/>
        <w:jc w:val="both"/>
        <w:rPr>
          <w:rFonts w:ascii="Arial Black" w:hAnsi="Arial Black" w:cs="Arial"/>
          <w:color w:val="31849B"/>
          <w:sz w:val="28"/>
          <w:szCs w:val="28"/>
        </w:rPr>
      </w:pPr>
      <w:r>
        <w:rPr>
          <w:rFonts w:ascii="Arial Black" w:hAnsi="Arial Black" w:cs="Arial"/>
          <w:color w:val="31849B"/>
          <w:sz w:val="28"/>
          <w:szCs w:val="28"/>
        </w:rPr>
        <w:t>Long COVID</w:t>
      </w:r>
      <w:r w:rsidRPr="00A31DF6">
        <w:rPr>
          <w:rFonts w:ascii="Arial Black" w:hAnsi="Arial Black" w:cs="Arial"/>
          <w:color w:val="31849B"/>
          <w:sz w:val="28"/>
          <w:szCs w:val="28"/>
        </w:rPr>
        <w:t xml:space="preserve"> </w:t>
      </w:r>
      <w:r>
        <w:rPr>
          <w:rFonts w:ascii="Arial Black" w:hAnsi="Arial Black" w:cs="Arial"/>
          <w:color w:val="31849B"/>
          <w:sz w:val="28"/>
          <w:szCs w:val="28"/>
        </w:rPr>
        <w:t>(Post-COVID Syndrome)</w:t>
      </w:r>
    </w:p>
    <w:p w14:paraId="2C4CC377" w14:textId="77777777" w:rsidR="00527CB4" w:rsidRDefault="00527CB4" w:rsidP="00527CB4">
      <w:pPr>
        <w:spacing w:line="240" w:lineRule="auto"/>
        <w:ind w:left="284" w:hanging="284"/>
        <w:jc w:val="both"/>
        <w:rPr>
          <w:rFonts w:ascii="Arial Black" w:hAnsi="Arial Black" w:cs="Arial"/>
          <w:color w:val="31849B"/>
          <w:sz w:val="28"/>
          <w:szCs w:val="28"/>
        </w:rPr>
      </w:pPr>
    </w:p>
    <w:p w14:paraId="17F36E3F" w14:textId="77777777" w:rsidR="00527CB4" w:rsidRDefault="00527CB4" w:rsidP="00527CB4">
      <w:pPr>
        <w:spacing w:line="240" w:lineRule="auto"/>
        <w:jc w:val="both"/>
        <w:rPr>
          <w:rFonts w:cs="Arial"/>
          <w:sz w:val="24"/>
        </w:rPr>
      </w:pPr>
      <w:r w:rsidRPr="005D0D64">
        <w:rPr>
          <w:rFonts w:cs="Arial"/>
          <w:sz w:val="24"/>
        </w:rPr>
        <w:t xml:space="preserve">The NICE guideline scope </w:t>
      </w:r>
      <w:r>
        <w:rPr>
          <w:rFonts w:cs="Arial"/>
          <w:sz w:val="24"/>
        </w:rPr>
        <w:t>(</w:t>
      </w:r>
      <w:r w:rsidRPr="005D0D64">
        <w:rPr>
          <w:rFonts w:cs="Arial"/>
          <w:sz w:val="24"/>
        </w:rPr>
        <w:t>publishe</w:t>
      </w:r>
      <w:r>
        <w:rPr>
          <w:rFonts w:cs="Arial"/>
          <w:sz w:val="24"/>
        </w:rPr>
        <w:t>d</w:t>
      </w:r>
      <w:r w:rsidRPr="005D0D64">
        <w:rPr>
          <w:rFonts w:cs="Arial"/>
          <w:sz w:val="24"/>
        </w:rPr>
        <w:t xml:space="preserve"> 30 October 2020</w:t>
      </w:r>
      <w:r>
        <w:rPr>
          <w:rFonts w:cs="Arial"/>
          <w:sz w:val="24"/>
        </w:rPr>
        <w:t>)</w:t>
      </w:r>
      <w:r w:rsidRPr="005D0D64">
        <w:rPr>
          <w:rFonts w:cs="Arial"/>
          <w:sz w:val="24"/>
        </w:rPr>
        <w:t xml:space="preserve"> defines post-COVID syndrome as signs and symptoms that develop during or following an infection consistent with COVID-</w:t>
      </w:r>
      <w:proofErr w:type="gramStart"/>
      <w:r w:rsidRPr="005D0D64">
        <w:rPr>
          <w:rFonts w:cs="Arial"/>
          <w:sz w:val="24"/>
        </w:rPr>
        <w:t>19 which</w:t>
      </w:r>
      <w:proofErr w:type="gramEnd"/>
      <w:r w:rsidRPr="005D0D64">
        <w:rPr>
          <w:rFonts w:cs="Arial"/>
          <w:sz w:val="24"/>
        </w:rPr>
        <w:t xml:space="preserve"> continue for more than 12 weeks and are not explained by an alternative diagnosis.</w:t>
      </w:r>
      <w:r>
        <w:rPr>
          <w:rFonts w:cs="Arial"/>
          <w:sz w:val="24"/>
        </w:rPr>
        <w:t xml:space="preserve"> Symptoms commonly include ‘brain fog’, chronic fatigue, breathlessness, anxiety and stress.</w:t>
      </w:r>
    </w:p>
    <w:p w14:paraId="70D91B55" w14:textId="77777777" w:rsidR="00527CB4" w:rsidRDefault="00527CB4" w:rsidP="00527CB4">
      <w:pPr>
        <w:spacing w:line="240" w:lineRule="auto"/>
        <w:jc w:val="both"/>
        <w:rPr>
          <w:rFonts w:cs="Arial"/>
          <w:sz w:val="24"/>
        </w:rPr>
      </w:pPr>
    </w:p>
    <w:p w14:paraId="53FA91C6" w14:textId="77777777" w:rsidR="00527CB4" w:rsidRDefault="00527CB4" w:rsidP="00527CB4">
      <w:pPr>
        <w:spacing w:line="240" w:lineRule="auto"/>
        <w:jc w:val="both"/>
        <w:rPr>
          <w:rFonts w:cs="Arial"/>
          <w:sz w:val="24"/>
        </w:rPr>
      </w:pPr>
      <w:r>
        <w:rPr>
          <w:rFonts w:cs="Arial"/>
          <w:sz w:val="24"/>
        </w:rPr>
        <w:t xml:space="preserve">Where employees are not fit for work due to symptoms consistent with Long COVID, the absence </w:t>
      </w:r>
      <w:proofErr w:type="gramStart"/>
      <w:r>
        <w:rPr>
          <w:rFonts w:cs="Arial"/>
          <w:sz w:val="24"/>
        </w:rPr>
        <w:t>will be classed</w:t>
      </w:r>
      <w:proofErr w:type="gramEnd"/>
      <w:r>
        <w:rPr>
          <w:rFonts w:cs="Arial"/>
          <w:sz w:val="24"/>
        </w:rPr>
        <w:t xml:space="preserve"> as sickness absence and managers should follow the guidance above on absence due to COVID-19. </w:t>
      </w:r>
    </w:p>
    <w:p w14:paraId="4EB7498C" w14:textId="77777777" w:rsidR="00527CB4" w:rsidRDefault="00527CB4" w:rsidP="00527CB4">
      <w:pPr>
        <w:spacing w:line="240" w:lineRule="auto"/>
        <w:jc w:val="both"/>
        <w:rPr>
          <w:rFonts w:cs="Arial"/>
          <w:sz w:val="24"/>
        </w:rPr>
      </w:pPr>
    </w:p>
    <w:p w14:paraId="6256C6A0" w14:textId="360EDD77" w:rsidR="00325C16" w:rsidRPr="00527CB4" w:rsidRDefault="00527CB4" w:rsidP="00527CB4">
      <w:pPr>
        <w:spacing w:line="240" w:lineRule="auto"/>
        <w:jc w:val="both"/>
        <w:rPr>
          <w:rFonts w:cs="Arial"/>
          <w:sz w:val="24"/>
        </w:rPr>
      </w:pPr>
      <w:r>
        <w:rPr>
          <w:rFonts w:cs="Arial"/>
          <w:sz w:val="24"/>
        </w:rPr>
        <w:t xml:space="preserve">Some employees with Long COVID may be well enough to remain in work while managing their symptoms. In such </w:t>
      </w:r>
      <w:proofErr w:type="gramStart"/>
      <w:r>
        <w:rPr>
          <w:rFonts w:cs="Arial"/>
          <w:sz w:val="24"/>
        </w:rPr>
        <w:t>cases</w:t>
      </w:r>
      <w:proofErr w:type="gramEnd"/>
      <w:r>
        <w:rPr>
          <w:rFonts w:cs="Arial"/>
          <w:sz w:val="24"/>
        </w:rPr>
        <w:t xml:space="preserve"> managers should look at support options consider whether the employee would benefit from a referral to Occupational Health for guidance on appropriate adjustments/support, the same as for any employee managing symptoms of a chronic health condition. </w:t>
      </w:r>
    </w:p>
    <w:p w14:paraId="3751430D" w14:textId="11BF9950" w:rsidR="00E018A0" w:rsidRDefault="00E018A0" w:rsidP="00E018A0">
      <w:pPr>
        <w:spacing w:line="240" w:lineRule="auto"/>
        <w:ind w:left="284" w:hanging="284"/>
        <w:jc w:val="both"/>
        <w:rPr>
          <w:rFonts w:ascii="Arial Black" w:hAnsi="Arial Black" w:cs="Arial"/>
          <w:color w:val="31849B"/>
          <w:sz w:val="28"/>
          <w:szCs w:val="28"/>
        </w:rPr>
      </w:pPr>
      <w:r>
        <w:rPr>
          <w:rFonts w:ascii="Arial Black" w:hAnsi="Arial Black" w:cs="Arial"/>
          <w:color w:val="31849B"/>
          <w:sz w:val="28"/>
          <w:szCs w:val="28"/>
        </w:rPr>
        <w:t>Absence due to Caring responsibilities related to COVID-19</w:t>
      </w:r>
    </w:p>
    <w:p w14:paraId="0FE9A576" w14:textId="77777777" w:rsidR="00EB7FA3" w:rsidRDefault="00EB7FA3" w:rsidP="00AC598F">
      <w:pPr>
        <w:spacing w:line="240" w:lineRule="auto"/>
        <w:jc w:val="both"/>
        <w:rPr>
          <w:rFonts w:cs="Arial"/>
          <w:sz w:val="24"/>
        </w:rPr>
      </w:pPr>
    </w:p>
    <w:p w14:paraId="1D47455E" w14:textId="2B71C4B5" w:rsidR="00527CB4" w:rsidRPr="00527CB4" w:rsidRDefault="00E018A0" w:rsidP="00527CB4">
      <w:pPr>
        <w:spacing w:after="160" w:line="259" w:lineRule="auto"/>
        <w:rPr>
          <w:sz w:val="24"/>
        </w:rPr>
      </w:pPr>
      <w:r w:rsidRPr="00E018A0">
        <w:rPr>
          <w:sz w:val="24"/>
        </w:rPr>
        <w:t xml:space="preserve">If an employee </w:t>
      </w:r>
      <w:proofErr w:type="gramStart"/>
      <w:r w:rsidRPr="00E018A0">
        <w:rPr>
          <w:sz w:val="24"/>
        </w:rPr>
        <w:t>is</w:t>
      </w:r>
      <w:proofErr w:type="gramEnd"/>
      <w:r w:rsidRPr="00E018A0">
        <w:rPr>
          <w:sz w:val="24"/>
        </w:rPr>
        <w:t xml:space="preserve"> absent from work due to caring responsibilities</w:t>
      </w:r>
      <w:r>
        <w:rPr>
          <w:sz w:val="24"/>
        </w:rPr>
        <w:t xml:space="preserve"> for example: when their child is sent home from school due to being exposed to COVID-19 then the procedures for other forms of leave including those for </w:t>
      </w:r>
      <w:r w:rsidR="00527CB4">
        <w:rPr>
          <w:sz w:val="24"/>
        </w:rPr>
        <w:t>childcare</w:t>
      </w:r>
      <w:r>
        <w:rPr>
          <w:sz w:val="24"/>
        </w:rPr>
        <w:t xml:space="preserve"> should be used and this should not be recorded as sickness absence. </w:t>
      </w:r>
      <w:r w:rsidRPr="00E018A0">
        <w:rPr>
          <w:sz w:val="24"/>
        </w:rPr>
        <w:t xml:space="preserve"> </w:t>
      </w:r>
    </w:p>
    <w:p w14:paraId="1B17D021" w14:textId="4DEC4984" w:rsidR="00527CB4" w:rsidRDefault="00527CB4" w:rsidP="00527CB4">
      <w:pPr>
        <w:pStyle w:val="Heading1"/>
        <w:numPr>
          <w:ilvl w:val="0"/>
          <w:numId w:val="0"/>
        </w:numPr>
        <w:spacing w:line="240" w:lineRule="auto"/>
      </w:pPr>
      <w:r>
        <w:t xml:space="preserve">Support Options </w:t>
      </w:r>
    </w:p>
    <w:p w14:paraId="3BEB623D" w14:textId="77777777" w:rsidR="00AC598F" w:rsidRPr="00AC598F" w:rsidRDefault="00AC598F" w:rsidP="00AC598F"/>
    <w:p w14:paraId="2BB14BE7" w14:textId="077DB7DC" w:rsidR="008522CC" w:rsidRDefault="00093681" w:rsidP="00AC598F">
      <w:pPr>
        <w:spacing w:line="240" w:lineRule="auto"/>
        <w:jc w:val="both"/>
        <w:rPr>
          <w:rFonts w:cs="Arial"/>
          <w:sz w:val="24"/>
        </w:rPr>
      </w:pPr>
      <w:r>
        <w:rPr>
          <w:rFonts w:cs="Arial"/>
          <w:sz w:val="24"/>
        </w:rPr>
        <w:t>A</w:t>
      </w:r>
      <w:r w:rsidR="008522CC" w:rsidRPr="008522CC">
        <w:rPr>
          <w:rFonts w:cs="Arial"/>
          <w:sz w:val="24"/>
        </w:rPr>
        <w:t xml:space="preserve">s a Council, we currently offer a number of support measures for those absent due to ill health including Occupational Health support, Counselling, phased returns, amended duties, alternative employment support and other reasonable adjustments. </w:t>
      </w:r>
    </w:p>
    <w:p w14:paraId="2E6010C1" w14:textId="77777777" w:rsidR="008522CC" w:rsidRDefault="008522CC" w:rsidP="00AC598F">
      <w:pPr>
        <w:spacing w:line="240" w:lineRule="auto"/>
        <w:jc w:val="both"/>
        <w:rPr>
          <w:rFonts w:cs="Arial"/>
          <w:sz w:val="24"/>
        </w:rPr>
      </w:pPr>
    </w:p>
    <w:p w14:paraId="5AD07D2E" w14:textId="31D9B190" w:rsidR="008522CC" w:rsidRDefault="008522CC" w:rsidP="00AC598F">
      <w:pPr>
        <w:spacing w:line="240" w:lineRule="auto"/>
        <w:jc w:val="both"/>
        <w:rPr>
          <w:rFonts w:cs="Arial"/>
          <w:sz w:val="24"/>
        </w:rPr>
      </w:pPr>
      <w:r w:rsidRPr="008522CC">
        <w:rPr>
          <w:rFonts w:cs="Arial"/>
          <w:sz w:val="24"/>
        </w:rPr>
        <w:t xml:space="preserve">It is likely that the impact </w:t>
      </w:r>
      <w:r w:rsidR="004E10C3">
        <w:rPr>
          <w:rFonts w:cs="Arial"/>
          <w:sz w:val="24"/>
        </w:rPr>
        <w:t>on individuals of</w:t>
      </w:r>
      <w:r w:rsidR="00093681">
        <w:rPr>
          <w:rFonts w:cs="Arial"/>
          <w:sz w:val="24"/>
        </w:rPr>
        <w:t xml:space="preserve"> </w:t>
      </w:r>
      <w:r w:rsidR="004E10C3">
        <w:rPr>
          <w:rFonts w:cs="Arial"/>
          <w:sz w:val="24"/>
        </w:rPr>
        <w:t>Long Covid</w:t>
      </w:r>
      <w:r w:rsidR="00093681">
        <w:rPr>
          <w:rFonts w:cs="Arial"/>
          <w:sz w:val="24"/>
        </w:rPr>
        <w:t>/Covid-19</w:t>
      </w:r>
      <w:r w:rsidR="004E10C3">
        <w:rPr>
          <w:rFonts w:cs="Arial"/>
          <w:sz w:val="24"/>
        </w:rPr>
        <w:t xml:space="preserve"> </w:t>
      </w:r>
      <w:r w:rsidRPr="008522CC">
        <w:rPr>
          <w:rFonts w:cs="Arial"/>
          <w:sz w:val="24"/>
        </w:rPr>
        <w:t xml:space="preserve">may </w:t>
      </w:r>
      <w:proofErr w:type="gramStart"/>
      <w:r w:rsidRPr="008522CC">
        <w:rPr>
          <w:rFonts w:cs="Arial"/>
          <w:sz w:val="24"/>
        </w:rPr>
        <w:t>vary</w:t>
      </w:r>
      <w:r w:rsidR="00B23D43">
        <w:rPr>
          <w:rFonts w:cs="Arial"/>
          <w:sz w:val="24"/>
        </w:rPr>
        <w:t>,</w:t>
      </w:r>
      <w:proofErr w:type="gramEnd"/>
      <w:r w:rsidRPr="008522CC">
        <w:rPr>
          <w:rFonts w:cs="Arial"/>
          <w:sz w:val="24"/>
        </w:rPr>
        <w:t xml:space="preserve"> therefore a person-centred approach </w:t>
      </w:r>
      <w:r>
        <w:rPr>
          <w:rFonts w:cs="Arial"/>
          <w:sz w:val="24"/>
        </w:rPr>
        <w:t xml:space="preserve">should be used to determine and offer support appropriate to the individual, as </w:t>
      </w:r>
      <w:r w:rsidR="00B23D43">
        <w:rPr>
          <w:rFonts w:cs="Arial"/>
          <w:sz w:val="24"/>
        </w:rPr>
        <w:t>with</w:t>
      </w:r>
      <w:r>
        <w:rPr>
          <w:rFonts w:cs="Arial"/>
          <w:sz w:val="24"/>
        </w:rPr>
        <w:t xml:space="preserve"> any long-term absence</w:t>
      </w:r>
      <w:r w:rsidRPr="008522CC">
        <w:rPr>
          <w:rFonts w:cs="Arial"/>
          <w:sz w:val="24"/>
        </w:rPr>
        <w:t>.</w:t>
      </w:r>
      <w:r>
        <w:rPr>
          <w:rFonts w:cs="Arial"/>
          <w:sz w:val="24"/>
        </w:rPr>
        <w:t xml:space="preserve"> </w:t>
      </w:r>
    </w:p>
    <w:p w14:paraId="39F71C4F" w14:textId="77777777" w:rsidR="00527CB4" w:rsidRDefault="00527CB4" w:rsidP="00AC598F">
      <w:pPr>
        <w:spacing w:line="240" w:lineRule="auto"/>
        <w:jc w:val="both"/>
        <w:rPr>
          <w:rFonts w:cs="Arial"/>
          <w:sz w:val="24"/>
        </w:rPr>
      </w:pPr>
    </w:p>
    <w:p w14:paraId="3E9B2D5B" w14:textId="46941504" w:rsidR="008522CC" w:rsidRPr="008522CC" w:rsidRDefault="00B675D7" w:rsidP="00AC598F">
      <w:pPr>
        <w:spacing w:line="240" w:lineRule="auto"/>
        <w:jc w:val="both"/>
        <w:rPr>
          <w:rFonts w:cs="Arial"/>
          <w:sz w:val="24"/>
        </w:rPr>
      </w:pPr>
      <w:proofErr w:type="gramStart"/>
      <w:r>
        <w:rPr>
          <w:rFonts w:cs="Arial"/>
          <w:sz w:val="24"/>
        </w:rPr>
        <w:t>M</w:t>
      </w:r>
      <w:r w:rsidR="008522CC">
        <w:rPr>
          <w:rFonts w:cs="Arial"/>
          <w:sz w:val="24"/>
        </w:rPr>
        <w:t xml:space="preserve">ore specific </w:t>
      </w:r>
      <w:r>
        <w:rPr>
          <w:rFonts w:cs="Arial"/>
          <w:sz w:val="24"/>
        </w:rPr>
        <w:t>information on support options</w:t>
      </w:r>
      <w:proofErr w:type="gramEnd"/>
      <w:r>
        <w:rPr>
          <w:rFonts w:cs="Arial"/>
          <w:sz w:val="24"/>
        </w:rPr>
        <w:t xml:space="preserve"> can be found in the</w:t>
      </w:r>
      <w:r w:rsidR="008522CC">
        <w:rPr>
          <w:rFonts w:cs="Arial"/>
          <w:sz w:val="24"/>
        </w:rPr>
        <w:t xml:space="preserve"> </w:t>
      </w:r>
      <w:r>
        <w:rPr>
          <w:rFonts w:cs="Arial"/>
          <w:sz w:val="24"/>
        </w:rPr>
        <w:t>A</w:t>
      </w:r>
      <w:r w:rsidR="008522CC">
        <w:rPr>
          <w:rFonts w:cs="Arial"/>
          <w:sz w:val="24"/>
        </w:rPr>
        <w:t>bsence and Wellbeing procedure</w:t>
      </w:r>
      <w:r w:rsidR="009A1123">
        <w:rPr>
          <w:rFonts w:cs="Arial"/>
          <w:sz w:val="24"/>
        </w:rPr>
        <w:t xml:space="preserve"> and guidance</w:t>
      </w:r>
      <w:r>
        <w:rPr>
          <w:rFonts w:cs="Arial"/>
          <w:sz w:val="24"/>
        </w:rPr>
        <w:t xml:space="preserve"> document</w:t>
      </w:r>
      <w:r w:rsidR="00DD1736">
        <w:rPr>
          <w:rFonts w:cs="Arial"/>
          <w:sz w:val="24"/>
        </w:rPr>
        <w:t>s</w:t>
      </w:r>
      <w:r>
        <w:rPr>
          <w:rFonts w:cs="Arial"/>
          <w:sz w:val="24"/>
        </w:rPr>
        <w:t>.</w:t>
      </w:r>
    </w:p>
    <w:p w14:paraId="574CD918" w14:textId="77777777" w:rsidR="002D2DFC" w:rsidRPr="00812009" w:rsidRDefault="002D2DFC" w:rsidP="00AC598F">
      <w:pPr>
        <w:spacing w:line="240" w:lineRule="auto"/>
        <w:rPr>
          <w:sz w:val="24"/>
        </w:rPr>
      </w:pPr>
    </w:p>
    <w:p w14:paraId="41567B54" w14:textId="1C0FDC1D" w:rsidR="00784F85" w:rsidRDefault="00784F85" w:rsidP="00AC598F">
      <w:pPr>
        <w:pStyle w:val="Heading1"/>
        <w:numPr>
          <w:ilvl w:val="0"/>
          <w:numId w:val="0"/>
        </w:numPr>
        <w:spacing w:line="240" w:lineRule="auto"/>
      </w:pPr>
      <w:r>
        <w:t>Equalit</w:t>
      </w:r>
      <w:r w:rsidR="00093681">
        <w:t>y</w:t>
      </w:r>
      <w:r>
        <w:t xml:space="preserve"> Act </w:t>
      </w:r>
    </w:p>
    <w:p w14:paraId="277C0B32" w14:textId="77777777" w:rsidR="00AC598F" w:rsidRPr="00AC598F" w:rsidRDefault="00AC598F" w:rsidP="00AC598F"/>
    <w:p w14:paraId="60DA5403" w14:textId="4D92AA1C" w:rsidR="008522CC" w:rsidRDefault="008522CC" w:rsidP="00AC598F">
      <w:pPr>
        <w:spacing w:line="240" w:lineRule="auto"/>
        <w:jc w:val="both"/>
        <w:rPr>
          <w:rFonts w:cs="Arial"/>
          <w:sz w:val="24"/>
        </w:rPr>
      </w:pPr>
      <w:r w:rsidRPr="008522CC">
        <w:rPr>
          <w:rFonts w:cs="Arial"/>
          <w:sz w:val="24"/>
        </w:rPr>
        <w:t xml:space="preserve">Whether Long Covid amounts to a disability under the Equality Act, will be difficult to answer given that the virus has only been present for a relatively short period. However, some employees may satisfy the definition due to pre-existing conditions (e.g. asthma). Therefore, even if an individual’s post-Covid condition </w:t>
      </w:r>
      <w:proofErr w:type="gramStart"/>
      <w:r w:rsidRPr="008522CC">
        <w:rPr>
          <w:rFonts w:cs="Arial"/>
          <w:sz w:val="24"/>
        </w:rPr>
        <w:t>is found</w:t>
      </w:r>
      <w:proofErr w:type="gramEnd"/>
      <w:r w:rsidRPr="008522CC">
        <w:rPr>
          <w:rFonts w:cs="Arial"/>
          <w:sz w:val="24"/>
        </w:rPr>
        <w:t xml:space="preserve"> not to amount a disability itself, the combined effect with their pre-existing condition may result in an overall substantial and long-term adverse effect such that it meets the test for disability.</w:t>
      </w:r>
    </w:p>
    <w:p w14:paraId="1F23C91B" w14:textId="3AE6D1B2" w:rsidR="005E27A6" w:rsidRDefault="005E27A6" w:rsidP="00AC598F">
      <w:pPr>
        <w:spacing w:line="240" w:lineRule="auto"/>
        <w:jc w:val="both"/>
        <w:rPr>
          <w:rFonts w:cs="Arial"/>
          <w:sz w:val="24"/>
        </w:rPr>
      </w:pPr>
    </w:p>
    <w:p w14:paraId="1008C58B" w14:textId="3DFAE294" w:rsidR="00A12A31" w:rsidRDefault="00A12A31" w:rsidP="00AC598F">
      <w:pPr>
        <w:spacing w:line="240" w:lineRule="auto"/>
        <w:jc w:val="both"/>
        <w:rPr>
          <w:rFonts w:cs="Arial"/>
          <w:sz w:val="24"/>
        </w:rPr>
      </w:pPr>
      <w:r>
        <w:rPr>
          <w:rFonts w:cs="Arial"/>
          <w:sz w:val="24"/>
        </w:rPr>
        <w:t xml:space="preserve">Therefore, employees suffering Long Covid </w:t>
      </w:r>
      <w:proofErr w:type="gramStart"/>
      <w:r>
        <w:rPr>
          <w:rFonts w:cs="Arial"/>
          <w:sz w:val="24"/>
        </w:rPr>
        <w:t>should be treated</w:t>
      </w:r>
      <w:proofErr w:type="gramEnd"/>
      <w:r>
        <w:rPr>
          <w:rFonts w:cs="Arial"/>
          <w:sz w:val="24"/>
        </w:rPr>
        <w:t xml:space="preserve"> consistently with any other </w:t>
      </w:r>
      <w:r w:rsidR="0054548B">
        <w:rPr>
          <w:rFonts w:cs="Arial"/>
          <w:sz w:val="24"/>
        </w:rPr>
        <w:t>long-term</w:t>
      </w:r>
      <w:r>
        <w:rPr>
          <w:rFonts w:cs="Arial"/>
          <w:sz w:val="24"/>
        </w:rPr>
        <w:t xml:space="preserve"> absence</w:t>
      </w:r>
      <w:r w:rsidR="0054548B">
        <w:rPr>
          <w:rFonts w:cs="Arial"/>
          <w:sz w:val="24"/>
        </w:rPr>
        <w:t xml:space="preserve"> where the question of disability arises</w:t>
      </w:r>
      <w:r w:rsidR="00FA30E3">
        <w:rPr>
          <w:rFonts w:cs="Arial"/>
          <w:sz w:val="24"/>
        </w:rPr>
        <w:t xml:space="preserve"> in accordance with the procedure</w:t>
      </w:r>
      <w:r>
        <w:rPr>
          <w:rFonts w:cs="Arial"/>
          <w:sz w:val="24"/>
        </w:rPr>
        <w:t>.</w:t>
      </w:r>
      <w:r w:rsidR="005E27A6">
        <w:rPr>
          <w:rFonts w:cs="Arial"/>
          <w:sz w:val="24"/>
        </w:rPr>
        <w:t xml:space="preserve"> </w:t>
      </w:r>
      <w:r>
        <w:rPr>
          <w:rFonts w:cs="Arial"/>
          <w:sz w:val="24"/>
        </w:rPr>
        <w:t>M</w:t>
      </w:r>
      <w:r w:rsidR="005E27A6">
        <w:rPr>
          <w:rFonts w:cs="Arial"/>
          <w:sz w:val="24"/>
        </w:rPr>
        <w:t xml:space="preserve">anagers should </w:t>
      </w:r>
      <w:r w:rsidR="00FA30E3">
        <w:rPr>
          <w:rFonts w:cs="Arial"/>
          <w:sz w:val="24"/>
        </w:rPr>
        <w:t xml:space="preserve">consider </w:t>
      </w:r>
      <w:r w:rsidR="005E27A6">
        <w:rPr>
          <w:rFonts w:cs="Arial"/>
          <w:sz w:val="24"/>
        </w:rPr>
        <w:t>seek</w:t>
      </w:r>
      <w:r w:rsidR="00FA30E3">
        <w:rPr>
          <w:rFonts w:cs="Arial"/>
          <w:sz w:val="24"/>
        </w:rPr>
        <w:t>ing</w:t>
      </w:r>
      <w:r w:rsidR="005E27A6">
        <w:rPr>
          <w:rFonts w:cs="Arial"/>
          <w:sz w:val="24"/>
        </w:rPr>
        <w:t xml:space="preserve"> guidance from Occupational Health</w:t>
      </w:r>
      <w:r w:rsidR="00F34439">
        <w:rPr>
          <w:rFonts w:cs="Arial"/>
          <w:sz w:val="24"/>
        </w:rPr>
        <w:t xml:space="preserve"> on whether employees </w:t>
      </w:r>
      <w:r>
        <w:rPr>
          <w:rFonts w:cs="Arial"/>
          <w:sz w:val="24"/>
        </w:rPr>
        <w:t xml:space="preserve">may </w:t>
      </w:r>
      <w:r w:rsidR="00F34439">
        <w:rPr>
          <w:rFonts w:cs="Arial"/>
          <w:sz w:val="24"/>
        </w:rPr>
        <w:t>come under the Equalit</w:t>
      </w:r>
      <w:r w:rsidR="00FA30E3">
        <w:rPr>
          <w:rFonts w:cs="Arial"/>
          <w:sz w:val="24"/>
        </w:rPr>
        <w:t>y</w:t>
      </w:r>
      <w:r w:rsidR="00F34439">
        <w:rPr>
          <w:rFonts w:cs="Arial"/>
          <w:sz w:val="24"/>
        </w:rPr>
        <w:t xml:space="preserve"> Act</w:t>
      </w:r>
      <w:r>
        <w:rPr>
          <w:rFonts w:cs="Arial"/>
          <w:sz w:val="24"/>
        </w:rPr>
        <w:t xml:space="preserve"> and</w:t>
      </w:r>
      <w:r w:rsidR="0054548B">
        <w:rPr>
          <w:rFonts w:cs="Arial"/>
          <w:sz w:val="24"/>
        </w:rPr>
        <w:t xml:space="preserve"> ask</w:t>
      </w:r>
      <w:r>
        <w:rPr>
          <w:rFonts w:cs="Arial"/>
          <w:sz w:val="24"/>
        </w:rPr>
        <w:t xml:space="preserve"> what reasonable adjustments </w:t>
      </w:r>
      <w:proofErr w:type="gramStart"/>
      <w:r>
        <w:rPr>
          <w:rFonts w:cs="Arial"/>
          <w:sz w:val="24"/>
        </w:rPr>
        <w:t>are recommended</w:t>
      </w:r>
      <w:proofErr w:type="gramEnd"/>
      <w:r>
        <w:rPr>
          <w:rFonts w:cs="Arial"/>
          <w:sz w:val="24"/>
        </w:rPr>
        <w:t>,</w:t>
      </w:r>
      <w:r w:rsidR="00F34439">
        <w:rPr>
          <w:rFonts w:cs="Arial"/>
          <w:sz w:val="24"/>
        </w:rPr>
        <w:t xml:space="preserve"> such as access to flexible working,</w:t>
      </w:r>
      <w:r w:rsidR="009A1123">
        <w:rPr>
          <w:rFonts w:cs="Arial"/>
          <w:sz w:val="24"/>
        </w:rPr>
        <w:t xml:space="preserve"> assistive equipment</w:t>
      </w:r>
      <w:r w:rsidR="00F34439">
        <w:rPr>
          <w:rFonts w:cs="Arial"/>
          <w:sz w:val="24"/>
        </w:rPr>
        <w:t xml:space="preserve"> or amendments to duties. Any</w:t>
      </w:r>
      <w:r w:rsidR="00093681">
        <w:rPr>
          <w:rFonts w:cs="Arial"/>
          <w:sz w:val="24"/>
        </w:rPr>
        <w:t xml:space="preserve"> </w:t>
      </w:r>
      <w:r w:rsidR="00F34439">
        <w:rPr>
          <w:rFonts w:cs="Arial"/>
          <w:sz w:val="24"/>
        </w:rPr>
        <w:t xml:space="preserve">recommendations for </w:t>
      </w:r>
      <w:r w:rsidR="00FA30E3">
        <w:rPr>
          <w:rFonts w:cs="Arial"/>
          <w:sz w:val="24"/>
        </w:rPr>
        <w:t xml:space="preserve">reasonable </w:t>
      </w:r>
      <w:r w:rsidR="00F34439">
        <w:rPr>
          <w:rFonts w:cs="Arial"/>
          <w:sz w:val="24"/>
        </w:rPr>
        <w:t xml:space="preserve">adjustments </w:t>
      </w:r>
      <w:proofErr w:type="gramStart"/>
      <w:r w:rsidR="00F34439">
        <w:rPr>
          <w:rFonts w:cs="Arial"/>
          <w:sz w:val="24"/>
        </w:rPr>
        <w:t>should be properly considered</w:t>
      </w:r>
      <w:proofErr w:type="gramEnd"/>
      <w:r w:rsidR="00FA30E3">
        <w:rPr>
          <w:rFonts w:cs="Arial"/>
          <w:sz w:val="24"/>
        </w:rPr>
        <w:t>.</w:t>
      </w:r>
      <w:r w:rsidR="00F34439">
        <w:rPr>
          <w:rFonts w:cs="Arial"/>
          <w:sz w:val="24"/>
        </w:rPr>
        <w:t xml:space="preserve"> </w:t>
      </w:r>
    </w:p>
    <w:p w14:paraId="7B731D7D" w14:textId="77777777" w:rsidR="00A12A31" w:rsidRDefault="00A12A31" w:rsidP="00AC598F">
      <w:pPr>
        <w:spacing w:line="240" w:lineRule="auto"/>
        <w:jc w:val="both"/>
        <w:rPr>
          <w:rFonts w:cs="Arial"/>
          <w:sz w:val="24"/>
        </w:rPr>
      </w:pPr>
    </w:p>
    <w:p w14:paraId="7D8F43D1" w14:textId="2A868D5E" w:rsidR="00B675D7" w:rsidRPr="008522CC" w:rsidRDefault="00B675D7" w:rsidP="00AC598F">
      <w:pPr>
        <w:spacing w:line="240" w:lineRule="auto"/>
        <w:jc w:val="both"/>
        <w:rPr>
          <w:rFonts w:cs="Arial"/>
          <w:sz w:val="24"/>
        </w:rPr>
      </w:pPr>
      <w:proofErr w:type="gramStart"/>
      <w:r>
        <w:rPr>
          <w:rFonts w:cs="Arial"/>
          <w:sz w:val="24"/>
        </w:rPr>
        <w:t>More specific information on the Equalit</w:t>
      </w:r>
      <w:r w:rsidR="00FA30E3">
        <w:rPr>
          <w:rFonts w:cs="Arial"/>
          <w:sz w:val="24"/>
        </w:rPr>
        <w:t>y</w:t>
      </w:r>
      <w:r>
        <w:rPr>
          <w:rFonts w:cs="Arial"/>
          <w:sz w:val="24"/>
        </w:rPr>
        <w:t xml:space="preserve"> Act and reasonable adjustments</w:t>
      </w:r>
      <w:proofErr w:type="gramEnd"/>
      <w:r>
        <w:rPr>
          <w:rFonts w:cs="Arial"/>
          <w:sz w:val="24"/>
        </w:rPr>
        <w:t xml:space="preserve"> can be found in the Absence and Wellbeing procedure and guidance document</w:t>
      </w:r>
      <w:r w:rsidR="00DD1736">
        <w:rPr>
          <w:rFonts w:cs="Arial"/>
          <w:sz w:val="24"/>
        </w:rPr>
        <w:t>s</w:t>
      </w:r>
      <w:r>
        <w:rPr>
          <w:rFonts w:cs="Arial"/>
          <w:sz w:val="24"/>
        </w:rPr>
        <w:t>.</w:t>
      </w:r>
    </w:p>
    <w:p w14:paraId="29CD8B4A" w14:textId="77777777" w:rsidR="00C052B1" w:rsidRDefault="00C052B1" w:rsidP="00C052B1">
      <w:pPr>
        <w:spacing w:line="240" w:lineRule="auto"/>
        <w:ind w:left="284" w:hanging="284"/>
        <w:jc w:val="both"/>
        <w:rPr>
          <w:rFonts w:ascii="Arial Black" w:hAnsi="Arial Black" w:cs="Arial"/>
          <w:color w:val="31849B"/>
          <w:sz w:val="28"/>
          <w:szCs w:val="28"/>
        </w:rPr>
      </w:pPr>
    </w:p>
    <w:p w14:paraId="01917E7D" w14:textId="77777777" w:rsidR="00127096" w:rsidRPr="00127096" w:rsidRDefault="00127096" w:rsidP="00AC598F">
      <w:pPr>
        <w:spacing w:line="240" w:lineRule="auto"/>
      </w:pPr>
    </w:p>
    <w:p w14:paraId="29590286" w14:textId="77777777" w:rsidR="0003750E" w:rsidRPr="00C60A17" w:rsidRDefault="0003750E" w:rsidP="00AC598F">
      <w:pPr>
        <w:tabs>
          <w:tab w:val="num" w:pos="780"/>
        </w:tabs>
        <w:spacing w:line="240" w:lineRule="auto"/>
        <w:ind w:left="780" w:hanging="360"/>
        <w:rPr>
          <w:rFonts w:cs="Arial"/>
        </w:rPr>
      </w:pPr>
    </w:p>
    <w:p w14:paraId="65CED924" w14:textId="13BB11D6" w:rsidR="00332121" w:rsidRDefault="00527CB4" w:rsidP="00AC598F">
      <w:pPr>
        <w:pStyle w:val="Tabs"/>
        <w:tabs>
          <w:tab w:val="clear" w:pos="567"/>
        </w:tabs>
        <w:ind w:left="0" w:hanging="27"/>
        <w:jc w:val="left"/>
      </w:pPr>
      <w:bookmarkStart w:id="2" w:name="Section4c"/>
      <w:bookmarkStart w:id="3" w:name="Section4d"/>
      <w:bookmarkStart w:id="4" w:name="Section5"/>
      <w:bookmarkStart w:id="5" w:name="Section6"/>
      <w:bookmarkEnd w:id="2"/>
      <w:bookmarkEnd w:id="3"/>
      <w:bookmarkEnd w:id="4"/>
      <w:bookmarkEnd w:id="5"/>
      <w:r>
        <w:rPr>
          <w:rFonts w:ascii="Arial" w:hAnsi="Arial" w:cs="Arial"/>
          <w:b/>
          <w:szCs w:val="24"/>
        </w:rPr>
        <w:t xml:space="preserve">September 2021 </w:t>
      </w:r>
    </w:p>
    <w:sectPr w:rsidR="00332121" w:rsidSect="0065212A">
      <w:headerReference w:type="first" r:id="rId11"/>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1DF74" w14:textId="77777777" w:rsidR="00D059F0" w:rsidRDefault="00D059F0">
      <w:pPr>
        <w:spacing w:line="240" w:lineRule="auto"/>
      </w:pPr>
      <w:r>
        <w:separator/>
      </w:r>
    </w:p>
  </w:endnote>
  <w:endnote w:type="continuationSeparator" w:id="0">
    <w:p w14:paraId="2C341700" w14:textId="77777777" w:rsidR="00D059F0" w:rsidRDefault="00D059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0C2EA" w14:textId="77777777" w:rsidR="00D059F0" w:rsidRDefault="00D059F0">
      <w:pPr>
        <w:spacing w:line="240" w:lineRule="auto"/>
      </w:pPr>
      <w:r>
        <w:separator/>
      </w:r>
    </w:p>
  </w:footnote>
  <w:footnote w:type="continuationSeparator" w:id="0">
    <w:p w14:paraId="13513C9D" w14:textId="77777777" w:rsidR="00D059F0" w:rsidRDefault="00D059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A6B6" w14:textId="77777777" w:rsidR="0065212A" w:rsidRDefault="0065212A" w:rsidP="0065212A">
    <w:pPr>
      <w:pBdr>
        <w:bottom w:val="single" w:sz="4" w:space="1" w:color="007EA9"/>
      </w:pBdr>
      <w:tabs>
        <w:tab w:val="left" w:pos="0"/>
      </w:tabs>
      <w:ind w:left="-851" w:right="-851"/>
      <w:rPr>
        <w:rFonts w:cs="Arial"/>
        <w:b/>
        <w:color w:val="007EA9"/>
        <w:sz w:val="19"/>
        <w:szCs w:val="19"/>
      </w:rPr>
    </w:pPr>
  </w:p>
  <w:p w14:paraId="702959CC" w14:textId="77777777" w:rsidR="0065212A" w:rsidRDefault="0065212A" w:rsidP="0065212A">
    <w:pPr>
      <w:pBdr>
        <w:bottom w:val="single" w:sz="4" w:space="1" w:color="007EA9"/>
      </w:pBdr>
      <w:tabs>
        <w:tab w:val="left" w:pos="0"/>
      </w:tabs>
      <w:ind w:left="-851" w:right="-851"/>
      <w:rPr>
        <w:rFonts w:cs="Arial"/>
        <w:b/>
        <w:color w:val="007EA9"/>
        <w:sz w:val="19"/>
        <w:szCs w:val="19"/>
      </w:rPr>
    </w:pPr>
  </w:p>
  <w:p w14:paraId="7D66E476" w14:textId="77777777" w:rsidR="0065212A" w:rsidRDefault="0065212A" w:rsidP="0065212A">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6F577EB9" w14:textId="77777777" w:rsidR="0065212A" w:rsidRDefault="0065212A" w:rsidP="0065212A">
    <w:pPr>
      <w:pBdr>
        <w:bottom w:val="single" w:sz="4" w:space="1" w:color="007EA9"/>
      </w:pBdr>
      <w:tabs>
        <w:tab w:val="left" w:pos="0"/>
      </w:tabs>
      <w:ind w:left="-851" w:right="-851"/>
      <w:rPr>
        <w:rFonts w:cs="Arial"/>
        <w:b/>
        <w:color w:val="007EA9"/>
        <w:sz w:val="19"/>
        <w:szCs w:val="19"/>
      </w:rPr>
    </w:pPr>
  </w:p>
  <w:p w14:paraId="0AA562CA" w14:textId="77777777" w:rsidR="0065212A" w:rsidRDefault="0065212A" w:rsidP="0065212A">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FD2"/>
    <w:multiLevelType w:val="hybridMultilevel"/>
    <w:tmpl w:val="CB86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BC0"/>
    <w:multiLevelType w:val="hybridMultilevel"/>
    <w:tmpl w:val="DD9C4C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809D4"/>
    <w:multiLevelType w:val="hybridMultilevel"/>
    <w:tmpl w:val="7FCC3716"/>
    <w:lvl w:ilvl="0" w:tplc="C2A0EB42">
      <w:start w:val="1"/>
      <w:numFmt w:val="decimal"/>
      <w:pStyle w:val="Heading1"/>
      <w:lvlText w:val="%1."/>
      <w:lvlJc w:val="left"/>
      <w:pPr>
        <w:ind w:left="720" w:hanging="360"/>
      </w:pPr>
      <w:rPr>
        <w:rFonts w:ascii="Arial Black" w:hAnsi="Arial Black" w:hint="default"/>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13D18"/>
    <w:multiLevelType w:val="hybridMultilevel"/>
    <w:tmpl w:val="F986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85714"/>
    <w:multiLevelType w:val="hybridMultilevel"/>
    <w:tmpl w:val="C034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03C6A"/>
    <w:multiLevelType w:val="hybridMultilevel"/>
    <w:tmpl w:val="049E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154C5"/>
    <w:multiLevelType w:val="hybridMultilevel"/>
    <w:tmpl w:val="C36A3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620A93"/>
    <w:multiLevelType w:val="hybridMultilevel"/>
    <w:tmpl w:val="CF64CD6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0E"/>
    <w:rsid w:val="0003750E"/>
    <w:rsid w:val="0007042E"/>
    <w:rsid w:val="00087264"/>
    <w:rsid w:val="0009138E"/>
    <w:rsid w:val="00093681"/>
    <w:rsid w:val="00097CC2"/>
    <w:rsid w:val="000A0630"/>
    <w:rsid w:val="000C17F0"/>
    <w:rsid w:val="001055A3"/>
    <w:rsid w:val="00116BD7"/>
    <w:rsid w:val="00117E32"/>
    <w:rsid w:val="0012348F"/>
    <w:rsid w:val="00125060"/>
    <w:rsid w:val="00127096"/>
    <w:rsid w:val="0014129D"/>
    <w:rsid w:val="00144B91"/>
    <w:rsid w:val="001562F7"/>
    <w:rsid w:val="00164FFF"/>
    <w:rsid w:val="00181830"/>
    <w:rsid w:val="00187F55"/>
    <w:rsid w:val="00192A7E"/>
    <w:rsid w:val="001A01FC"/>
    <w:rsid w:val="001B451E"/>
    <w:rsid w:val="001C47F5"/>
    <w:rsid w:val="001D5104"/>
    <w:rsid w:val="001D6818"/>
    <w:rsid w:val="002107C1"/>
    <w:rsid w:val="00213773"/>
    <w:rsid w:val="002369A6"/>
    <w:rsid w:val="002572D4"/>
    <w:rsid w:val="002A2EA8"/>
    <w:rsid w:val="002A4DDD"/>
    <w:rsid w:val="002D2DFC"/>
    <w:rsid w:val="00325C16"/>
    <w:rsid w:val="00327FC9"/>
    <w:rsid w:val="00332121"/>
    <w:rsid w:val="003E7747"/>
    <w:rsid w:val="003F0F17"/>
    <w:rsid w:val="00405F07"/>
    <w:rsid w:val="00427789"/>
    <w:rsid w:val="004A2390"/>
    <w:rsid w:val="004E10C3"/>
    <w:rsid w:val="004E1315"/>
    <w:rsid w:val="004E2632"/>
    <w:rsid w:val="004F4089"/>
    <w:rsid w:val="0050346D"/>
    <w:rsid w:val="0051282D"/>
    <w:rsid w:val="00527CB4"/>
    <w:rsid w:val="0053331E"/>
    <w:rsid w:val="0054400F"/>
    <w:rsid w:val="0054548B"/>
    <w:rsid w:val="0054736E"/>
    <w:rsid w:val="00552086"/>
    <w:rsid w:val="00557874"/>
    <w:rsid w:val="0056217F"/>
    <w:rsid w:val="005632BC"/>
    <w:rsid w:val="00582366"/>
    <w:rsid w:val="005B6C81"/>
    <w:rsid w:val="005D0D64"/>
    <w:rsid w:val="005D5AF2"/>
    <w:rsid w:val="005E27A6"/>
    <w:rsid w:val="00604BDF"/>
    <w:rsid w:val="00622FA0"/>
    <w:rsid w:val="0065212A"/>
    <w:rsid w:val="00652C17"/>
    <w:rsid w:val="00661222"/>
    <w:rsid w:val="0066221A"/>
    <w:rsid w:val="0067001D"/>
    <w:rsid w:val="00672A00"/>
    <w:rsid w:val="006875FB"/>
    <w:rsid w:val="006B670F"/>
    <w:rsid w:val="006C2BCC"/>
    <w:rsid w:val="006F0739"/>
    <w:rsid w:val="00733812"/>
    <w:rsid w:val="00784F85"/>
    <w:rsid w:val="007852F3"/>
    <w:rsid w:val="007E5316"/>
    <w:rsid w:val="008077EF"/>
    <w:rsid w:val="00812009"/>
    <w:rsid w:val="00823D4F"/>
    <w:rsid w:val="008522CC"/>
    <w:rsid w:val="00856D74"/>
    <w:rsid w:val="008628CE"/>
    <w:rsid w:val="00870EB6"/>
    <w:rsid w:val="008926D8"/>
    <w:rsid w:val="008E324E"/>
    <w:rsid w:val="008E6077"/>
    <w:rsid w:val="008F6265"/>
    <w:rsid w:val="009666DA"/>
    <w:rsid w:val="00971B80"/>
    <w:rsid w:val="009739CD"/>
    <w:rsid w:val="009A1123"/>
    <w:rsid w:val="009C110A"/>
    <w:rsid w:val="009C1BE1"/>
    <w:rsid w:val="009E3854"/>
    <w:rsid w:val="00A03389"/>
    <w:rsid w:val="00A0564F"/>
    <w:rsid w:val="00A12A31"/>
    <w:rsid w:val="00A31DF6"/>
    <w:rsid w:val="00A86909"/>
    <w:rsid w:val="00A958C3"/>
    <w:rsid w:val="00AC598F"/>
    <w:rsid w:val="00AD3F27"/>
    <w:rsid w:val="00AD6F83"/>
    <w:rsid w:val="00AE5710"/>
    <w:rsid w:val="00B1613C"/>
    <w:rsid w:val="00B23D43"/>
    <w:rsid w:val="00B25D27"/>
    <w:rsid w:val="00B50265"/>
    <w:rsid w:val="00B52716"/>
    <w:rsid w:val="00B675D7"/>
    <w:rsid w:val="00B7028B"/>
    <w:rsid w:val="00B87540"/>
    <w:rsid w:val="00B975DE"/>
    <w:rsid w:val="00BC2309"/>
    <w:rsid w:val="00C052B1"/>
    <w:rsid w:val="00C13D25"/>
    <w:rsid w:val="00C14FC0"/>
    <w:rsid w:val="00C923F6"/>
    <w:rsid w:val="00CA0549"/>
    <w:rsid w:val="00CF1861"/>
    <w:rsid w:val="00D059F0"/>
    <w:rsid w:val="00D173E6"/>
    <w:rsid w:val="00D4748D"/>
    <w:rsid w:val="00D67451"/>
    <w:rsid w:val="00D676E9"/>
    <w:rsid w:val="00DA6E8D"/>
    <w:rsid w:val="00DB1700"/>
    <w:rsid w:val="00DB6304"/>
    <w:rsid w:val="00DC4303"/>
    <w:rsid w:val="00DD1736"/>
    <w:rsid w:val="00DE2264"/>
    <w:rsid w:val="00E018A0"/>
    <w:rsid w:val="00E275F4"/>
    <w:rsid w:val="00E55A46"/>
    <w:rsid w:val="00E67FB4"/>
    <w:rsid w:val="00E96250"/>
    <w:rsid w:val="00EA0D2C"/>
    <w:rsid w:val="00EB001D"/>
    <w:rsid w:val="00EB7FA3"/>
    <w:rsid w:val="00EF73D7"/>
    <w:rsid w:val="00F016E0"/>
    <w:rsid w:val="00F34439"/>
    <w:rsid w:val="00F650C6"/>
    <w:rsid w:val="00F8739F"/>
    <w:rsid w:val="00FA30E3"/>
    <w:rsid w:val="00FC72F5"/>
    <w:rsid w:val="00FD5E33"/>
    <w:rsid w:val="00FE0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70E6BC"/>
  <w15:chartTrackingRefBased/>
  <w15:docId w15:val="{0A72B99E-ED80-4B55-AB15-BD2186F7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50E"/>
    <w:pPr>
      <w:spacing w:after="0" w:line="264" w:lineRule="auto"/>
    </w:pPr>
    <w:rPr>
      <w:rFonts w:ascii="Arial" w:eastAsia="Times New Roman" w:hAnsi="Arial" w:cs="Times New Roman"/>
      <w:sz w:val="20"/>
      <w:szCs w:val="24"/>
      <w:lang w:eastAsia="en-GB"/>
    </w:rPr>
  </w:style>
  <w:style w:type="paragraph" w:styleId="Heading1">
    <w:name w:val="heading 1"/>
    <w:basedOn w:val="Normal"/>
    <w:next w:val="Normal"/>
    <w:link w:val="Heading1Char"/>
    <w:qFormat/>
    <w:rsid w:val="0003750E"/>
    <w:pPr>
      <w:keepNext/>
      <w:numPr>
        <w:numId w:val="1"/>
      </w:numPr>
      <w:outlineLvl w:val="0"/>
    </w:pPr>
    <w:rPr>
      <w:rFonts w:ascii="Arial Black" w:hAnsi="Arial Black" w:cs="Arial"/>
      <w:b/>
      <w:bCs/>
      <w:color w:val="007EA9"/>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50E"/>
    <w:rPr>
      <w:rFonts w:ascii="Arial Black" w:eastAsia="Times New Roman" w:hAnsi="Arial Black" w:cs="Arial"/>
      <w:b/>
      <w:bCs/>
      <w:color w:val="007EA9"/>
      <w:kern w:val="32"/>
      <w:sz w:val="28"/>
      <w:szCs w:val="28"/>
      <w:lang w:eastAsia="en-GB"/>
    </w:rPr>
  </w:style>
  <w:style w:type="character" w:styleId="Hyperlink">
    <w:name w:val="Hyperlink"/>
    <w:uiPriority w:val="99"/>
    <w:rsid w:val="0003750E"/>
    <w:rPr>
      <w:rFonts w:ascii="Arial" w:hAnsi="Arial"/>
      <w:b/>
      <w:color w:val="007EA9"/>
      <w:sz w:val="20"/>
      <w:u w:val="none"/>
    </w:rPr>
  </w:style>
  <w:style w:type="paragraph" w:customStyle="1" w:styleId="SubHead">
    <w:name w:val="Sub Head"/>
    <w:basedOn w:val="Normal"/>
    <w:rsid w:val="0003750E"/>
    <w:pPr>
      <w:spacing w:line="240" w:lineRule="auto"/>
    </w:pPr>
    <w:rPr>
      <w:rFonts w:ascii="New York" w:hAnsi="New York"/>
      <w:b/>
      <w:sz w:val="28"/>
      <w:szCs w:val="20"/>
      <w:lang w:eastAsia="en-US"/>
    </w:rPr>
  </w:style>
  <w:style w:type="paragraph" w:customStyle="1" w:styleId="Tabs">
    <w:name w:val="Tabs"/>
    <w:basedOn w:val="Normal"/>
    <w:rsid w:val="0003750E"/>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03750E"/>
    <w:pPr>
      <w:ind w:left="720"/>
      <w:contextualSpacing/>
    </w:pPr>
  </w:style>
  <w:style w:type="paragraph" w:styleId="CommentText">
    <w:name w:val="annotation text"/>
    <w:basedOn w:val="Normal"/>
    <w:link w:val="CommentTextChar"/>
    <w:rsid w:val="0003750E"/>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03750E"/>
    <w:rPr>
      <w:rFonts w:ascii="Times New Roman" w:eastAsia="Times New Roman" w:hAnsi="Times New Roman" w:cs="Times New Roman"/>
      <w:sz w:val="20"/>
      <w:szCs w:val="20"/>
    </w:rPr>
  </w:style>
  <w:style w:type="paragraph" w:styleId="Footer">
    <w:name w:val="footer"/>
    <w:basedOn w:val="Normal"/>
    <w:link w:val="FooterChar"/>
    <w:uiPriority w:val="99"/>
    <w:rsid w:val="0003750E"/>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3750E"/>
    <w:rPr>
      <w:rFonts w:ascii="Times New Roman" w:eastAsia="Times New Roman" w:hAnsi="Times New Roman" w:cs="Times New Roman"/>
      <w:sz w:val="24"/>
      <w:szCs w:val="24"/>
      <w:lang w:val="en-US"/>
    </w:rPr>
  </w:style>
  <w:style w:type="character" w:styleId="CommentReference">
    <w:name w:val="annotation reference"/>
    <w:basedOn w:val="DefaultParagraphFont"/>
    <w:rsid w:val="0003750E"/>
    <w:rPr>
      <w:sz w:val="16"/>
      <w:szCs w:val="16"/>
    </w:rPr>
  </w:style>
  <w:style w:type="paragraph" w:styleId="NoSpacing">
    <w:name w:val="No Spacing"/>
    <w:uiPriority w:val="1"/>
    <w:qFormat/>
    <w:rsid w:val="0003750E"/>
    <w:pPr>
      <w:spacing w:after="0" w:line="240" w:lineRule="auto"/>
    </w:pPr>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0375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50E"/>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FE02AC"/>
    <w:rPr>
      <w:rFonts w:ascii="Arial" w:hAnsi="Arial"/>
      <w:b/>
      <w:bCs/>
      <w:lang w:eastAsia="en-GB"/>
    </w:rPr>
  </w:style>
  <w:style w:type="character" w:customStyle="1" w:styleId="CommentSubjectChar">
    <w:name w:val="Comment Subject Char"/>
    <w:basedOn w:val="CommentTextChar"/>
    <w:link w:val="CommentSubject"/>
    <w:uiPriority w:val="99"/>
    <w:semiHidden/>
    <w:rsid w:val="00FE02AC"/>
    <w:rPr>
      <w:rFonts w:ascii="Arial" w:eastAsia="Times New Roman" w:hAnsi="Arial" w:cs="Times New Roman"/>
      <w:b/>
      <w:bCs/>
      <w:sz w:val="20"/>
      <w:szCs w:val="20"/>
      <w:lang w:eastAsia="en-GB"/>
    </w:rPr>
  </w:style>
  <w:style w:type="paragraph" w:styleId="NormalWeb">
    <w:name w:val="Normal (Web)"/>
    <w:basedOn w:val="Normal"/>
    <w:uiPriority w:val="99"/>
    <w:unhideWhenUsed/>
    <w:rsid w:val="001562F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umbria.gov.uk/coronavirus/faq.asp" TargetMode="External"/><Relationship Id="rId4" Type="http://schemas.openxmlformats.org/officeDocument/2006/relationships/settings" Target="settings.xml"/><Relationship Id="rId9" Type="http://schemas.openxmlformats.org/officeDocument/2006/relationships/hyperlink" Target="https://cumbria.gov.uk/coronavirus/faq.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5699F-EDCE-44C4-B67F-20D2881D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and Wellbeing - COVID Guidance September 2021</dc:title>
  <dc:subject/>
  <dc:creator>People Management Team</dc:creator>
  <cp:keywords/>
  <dc:description>UI - Headteacher - guidance applies to employees where they are absent from work due to Covid-19 related sickness absence</dc:description>
  <cp:lastModifiedBy>Armstrong, Angela C</cp:lastModifiedBy>
  <cp:revision>5</cp:revision>
  <dcterms:created xsi:type="dcterms:W3CDTF">2021-09-24T18:15:00Z</dcterms:created>
  <dcterms:modified xsi:type="dcterms:W3CDTF">2021-10-06T13:12:00Z</dcterms:modified>
  <cp:category>Absence Management</cp:category>
</cp:coreProperties>
</file>