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5D8A" w14:textId="77777777" w:rsidR="000E2C35" w:rsidRPr="00833179" w:rsidRDefault="00D077D9" w:rsidP="006A2DCC">
      <w:r w:rsidRPr="00833179">
        <w:rPr>
          <w:noProof/>
        </w:rPr>
        <w:drawing>
          <wp:anchor distT="0" distB="0" distL="114300" distR="114300" simplePos="0" relativeHeight="251658241" behindDoc="1" locked="0" layoutInCell="1" allowOverlap="1" wp14:anchorId="752E5F1A" wp14:editId="752E5F1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5D8B" w14:textId="77777777" w:rsidR="000E2C35" w:rsidRPr="00833179" w:rsidRDefault="000E2C35" w:rsidP="006A2DCC"/>
    <w:p w14:paraId="752E5D8C" w14:textId="45AA68B1" w:rsidR="000E2C35" w:rsidRPr="00833179" w:rsidRDefault="00D077D9" w:rsidP="006A2DCC">
      <w:r w:rsidRPr="00833179">
        <w:rPr>
          <w:rFonts w:cs="Arial"/>
          <w:bCs/>
          <w:noProof/>
          <w:sz w:val="24"/>
        </w:rPr>
        <mc:AlternateContent>
          <mc:Choice Requires="wps">
            <w:drawing>
              <wp:anchor distT="0" distB="0" distL="114300" distR="114300" simplePos="0" relativeHeight="251658242" behindDoc="0" locked="0" layoutInCell="1" allowOverlap="1" wp14:anchorId="752E5F1C" wp14:editId="6AE8D69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5F38" w14:textId="77777777" w:rsidR="001D47A4" w:rsidRDefault="001D47A4"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77777777" w:rsidR="001D47A4" w:rsidRDefault="001D47A4"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52E5F3A" w14:textId="0942E1AF" w:rsidR="001D47A4" w:rsidRPr="00E36C2C" w:rsidRDefault="001D47A4" w:rsidP="00F15879">
                            <w:pPr>
                              <w:spacing w:line="240" w:lineRule="auto"/>
                              <w:jc w:val="center"/>
                              <w:rPr>
                                <w:rFonts w:ascii="Arial Black" w:hAnsi="Arial Black" w:cs="Arial"/>
                                <w:b/>
                                <w:color w:val="BFBFBF"/>
                                <w:sz w:val="36"/>
                                <w:szCs w:val="36"/>
                              </w:rPr>
                            </w:pPr>
                          </w:p>
                          <w:p w14:paraId="752E5F3B" w14:textId="77777777" w:rsidR="001D47A4" w:rsidRPr="00E36C2C" w:rsidRDefault="001D47A4"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752E5F38" w14:textId="77777777" w:rsidR="001D47A4" w:rsidRDefault="001D47A4"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77777777" w:rsidR="001D47A4" w:rsidRDefault="001D47A4"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752E5F3A" w14:textId="0942E1AF" w:rsidR="001D47A4" w:rsidRPr="00E36C2C" w:rsidRDefault="001D47A4" w:rsidP="00F15879">
                      <w:pPr>
                        <w:spacing w:line="240" w:lineRule="auto"/>
                        <w:jc w:val="center"/>
                        <w:rPr>
                          <w:rFonts w:ascii="Arial Black" w:hAnsi="Arial Black" w:cs="Arial"/>
                          <w:b/>
                          <w:color w:val="BFBFBF"/>
                          <w:sz w:val="36"/>
                          <w:szCs w:val="36"/>
                        </w:rPr>
                      </w:pPr>
                    </w:p>
                    <w:p w14:paraId="752E5F3B" w14:textId="77777777" w:rsidR="001D47A4" w:rsidRPr="00E36C2C" w:rsidRDefault="001D47A4" w:rsidP="00F15879">
                      <w:pPr>
                        <w:rPr>
                          <w:color w:val="FFFFFF"/>
                          <w:sz w:val="36"/>
                          <w:szCs w:val="36"/>
                        </w:rPr>
                      </w:pPr>
                    </w:p>
                  </w:txbxContent>
                </v:textbox>
              </v:shape>
            </w:pict>
          </mc:Fallback>
        </mc:AlternateContent>
      </w:r>
    </w:p>
    <w:p w14:paraId="752E5D8D" w14:textId="5D976800" w:rsidR="000E2C35" w:rsidRPr="00833179" w:rsidRDefault="000E2C35" w:rsidP="006A2DCC"/>
    <w:p w14:paraId="752E5D8E" w14:textId="147DA0A5" w:rsidR="000E2C35" w:rsidRPr="00833179" w:rsidRDefault="00A650D7" w:rsidP="006A2DCC">
      <w:r w:rsidRPr="00833179">
        <w:rPr>
          <w:noProof/>
        </w:rPr>
        <mc:AlternateContent>
          <mc:Choice Requires="wps">
            <w:drawing>
              <wp:anchor distT="0" distB="0" distL="114300" distR="114300" simplePos="0" relativeHeight="251658240" behindDoc="0" locked="0" layoutInCell="1" allowOverlap="1" wp14:anchorId="752E5F1E" wp14:editId="049665B5">
                <wp:simplePos x="0" y="0"/>
                <wp:positionH relativeFrom="column">
                  <wp:posOffset>3594999</wp:posOffset>
                </wp:positionH>
                <wp:positionV relativeFrom="paragraph">
                  <wp:posOffset>13970</wp:posOffset>
                </wp:positionV>
                <wp:extent cx="2311400"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11885"/>
                        </a:xfrm>
                        <a:prstGeom prst="rect">
                          <a:avLst/>
                        </a:prstGeom>
                        <a:noFill/>
                        <a:ln w="9525">
                          <a:noFill/>
                          <a:miter lim="800000"/>
                          <a:headEnd/>
                          <a:tailEnd/>
                        </a:ln>
                      </wps:spPr>
                      <wps:txbx>
                        <w:txbxContent>
                          <w:p w14:paraId="752E5F3C" w14:textId="560518EB" w:rsidR="001D47A4" w:rsidRPr="00B21E38" w:rsidRDefault="001D47A4" w:rsidP="003E2C80">
                            <w:pPr>
                              <w:spacing w:line="240" w:lineRule="auto"/>
                              <w:jc w:val="center"/>
                              <w:rPr>
                                <w:rFonts w:ascii="Arial Black" w:hAnsi="Arial Black" w:cs="Arial"/>
                                <w:b/>
                                <w:color w:val="31849B"/>
                                <w:sz w:val="40"/>
                                <w:szCs w:val="40"/>
                              </w:rPr>
                            </w:pPr>
                            <w:r w:rsidRPr="00B21E38">
                              <w:rPr>
                                <w:rFonts w:ascii="Arial Black" w:hAnsi="Arial Black" w:cs="Arial"/>
                                <w:b/>
                                <w:color w:val="0082AA"/>
                                <w:sz w:val="40"/>
                                <w:szCs w:val="40"/>
                              </w:rPr>
                              <w:t xml:space="preserve">Additional Payment for </w:t>
                            </w:r>
                            <w:r w:rsidR="00A9128C">
                              <w:rPr>
                                <w:rFonts w:ascii="Arial Black" w:hAnsi="Arial Black" w:cs="Arial"/>
                                <w:b/>
                                <w:color w:val="0082AA"/>
                                <w:sz w:val="40"/>
                                <w:szCs w:val="40"/>
                              </w:rPr>
                              <w:t>Manager</w:t>
                            </w:r>
                            <w:r w:rsidRPr="00B21E38">
                              <w:rPr>
                                <w:rFonts w:ascii="Arial Black" w:hAnsi="Arial Black" w:cs="Arial"/>
                                <w:b/>
                                <w:color w:val="0082AA"/>
                                <w:sz w:val="40"/>
                                <w:szCs w:val="40"/>
                              </w:rPr>
                              <w:t xml:space="preserve"> Standby Hours</w:t>
                            </w:r>
                          </w:p>
                          <w:p w14:paraId="752E5F3D" w14:textId="77777777" w:rsidR="001D47A4" w:rsidRPr="0065495D" w:rsidRDefault="001D47A4">
                            <w:pPr>
                              <w:rPr>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3.05pt;margin-top:1.1pt;width:182pt;height:87.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" filled="f" stroked="f">
                <v:textbox style="mso-fit-shape-to-text:t">
                  <w:txbxContent>
                    <w:p w14:paraId="752E5F3C" w14:textId="560518EB" w:rsidR="001D47A4" w:rsidRPr="00B21E38" w:rsidRDefault="001D47A4" w:rsidP="003E2C80">
                      <w:pPr>
                        <w:spacing w:line="240" w:lineRule="auto"/>
                        <w:jc w:val="center"/>
                        <w:rPr>
                          <w:rFonts w:ascii="Arial Black" w:hAnsi="Arial Black" w:cs="Arial"/>
                          <w:b/>
                          <w:color w:val="31849B"/>
                          <w:sz w:val="40"/>
                          <w:szCs w:val="40"/>
                        </w:rPr>
                      </w:pPr>
                      <w:r w:rsidRPr="00B21E38">
                        <w:rPr>
                          <w:rFonts w:ascii="Arial Black" w:hAnsi="Arial Black" w:cs="Arial"/>
                          <w:b/>
                          <w:color w:val="0082AA"/>
                          <w:sz w:val="40"/>
                          <w:szCs w:val="40"/>
                        </w:rPr>
                        <w:t xml:space="preserve">Additional Payment for </w:t>
                      </w:r>
                      <w:r w:rsidR="00A9128C">
                        <w:rPr>
                          <w:rFonts w:ascii="Arial Black" w:hAnsi="Arial Black" w:cs="Arial"/>
                          <w:b/>
                          <w:color w:val="0082AA"/>
                          <w:sz w:val="40"/>
                          <w:szCs w:val="40"/>
                        </w:rPr>
                        <w:t>Manager</w:t>
                      </w:r>
                      <w:r w:rsidRPr="00B21E38">
                        <w:rPr>
                          <w:rFonts w:ascii="Arial Black" w:hAnsi="Arial Black" w:cs="Arial"/>
                          <w:b/>
                          <w:color w:val="0082AA"/>
                          <w:sz w:val="40"/>
                          <w:szCs w:val="40"/>
                        </w:rPr>
                        <w:t xml:space="preserve"> Standby Hours</w:t>
                      </w:r>
                    </w:p>
                    <w:p w14:paraId="752E5F3D" w14:textId="77777777" w:rsidR="001D47A4" w:rsidRPr="0065495D" w:rsidRDefault="001D47A4">
                      <w:pPr>
                        <w:rPr>
                          <w:sz w:val="44"/>
                          <w:szCs w:val="44"/>
                        </w:rPr>
                      </w:pPr>
                    </w:p>
                  </w:txbxContent>
                </v:textbox>
              </v:shape>
            </w:pict>
          </mc:Fallback>
        </mc:AlternateContent>
      </w:r>
    </w:p>
    <w:p w14:paraId="752E5D8F" w14:textId="1BAD2C01" w:rsidR="000E2C35" w:rsidRPr="00833179" w:rsidRDefault="000E2C35" w:rsidP="006A2DCC"/>
    <w:p w14:paraId="752E5D90" w14:textId="77777777" w:rsidR="000E2C35" w:rsidRPr="00833179" w:rsidRDefault="000E2C35" w:rsidP="006A2DCC"/>
    <w:p w14:paraId="752E5D91" w14:textId="1933B0E3" w:rsidR="000E2C35" w:rsidRPr="00833179" w:rsidRDefault="000E2C35" w:rsidP="006A2DCC"/>
    <w:p w14:paraId="752E5D92" w14:textId="77777777" w:rsidR="000E2C35" w:rsidRPr="00833179" w:rsidRDefault="000E2C35" w:rsidP="006A2DCC"/>
    <w:p w14:paraId="752E5D93" w14:textId="77777777" w:rsidR="003E2C80" w:rsidRPr="00833179" w:rsidRDefault="003E2C80" w:rsidP="003E2C80">
      <w:pPr>
        <w:pStyle w:val="SubHead"/>
        <w:rPr>
          <w:rFonts w:ascii="Arial" w:hAnsi="Arial" w:cs="Arial"/>
          <w:bCs/>
          <w:sz w:val="24"/>
        </w:rPr>
      </w:pPr>
      <w:bookmarkStart w:id="0" w:name="_GoBack"/>
      <w:bookmarkEnd w:id="0"/>
    </w:p>
    <w:p w14:paraId="752E5D94" w14:textId="77777777" w:rsidR="003E2C80" w:rsidRPr="00833179" w:rsidRDefault="003E2C80" w:rsidP="003E2C80">
      <w:pPr>
        <w:pStyle w:val="SubHead"/>
        <w:rPr>
          <w:rFonts w:ascii="Arial" w:hAnsi="Arial" w:cs="Arial"/>
          <w:bCs/>
          <w:sz w:val="24"/>
        </w:rPr>
      </w:pPr>
    </w:p>
    <w:p w14:paraId="752E5D95" w14:textId="77777777" w:rsidR="003E2C80" w:rsidRPr="00833179" w:rsidRDefault="003E2C80" w:rsidP="003E2C80">
      <w:pPr>
        <w:pStyle w:val="SubHead"/>
        <w:rPr>
          <w:rFonts w:ascii="Arial" w:hAnsi="Arial" w:cs="Arial"/>
          <w:bCs/>
          <w:sz w:val="24"/>
        </w:rPr>
      </w:pPr>
    </w:p>
    <w:p w14:paraId="752E5D96" w14:textId="77777777" w:rsidR="003E2C80" w:rsidRPr="00833179" w:rsidRDefault="003E2C80" w:rsidP="003E2C80">
      <w:pPr>
        <w:pStyle w:val="SubHead"/>
        <w:rPr>
          <w:rFonts w:ascii="Arial" w:hAnsi="Arial" w:cs="Arial"/>
          <w:bCs/>
          <w:sz w:val="24"/>
        </w:rPr>
      </w:pPr>
    </w:p>
    <w:p w14:paraId="752E5D97" w14:textId="77777777" w:rsidR="003E2C80" w:rsidRPr="00833179" w:rsidRDefault="003E2C80" w:rsidP="003E2C80">
      <w:pPr>
        <w:pStyle w:val="SubHead"/>
        <w:rPr>
          <w:rFonts w:ascii="Arial" w:hAnsi="Arial" w:cs="Arial"/>
          <w:bCs/>
          <w:sz w:val="24"/>
        </w:rPr>
      </w:pPr>
    </w:p>
    <w:p w14:paraId="752E5D98" w14:textId="77777777" w:rsidR="003E2C80" w:rsidRDefault="003E2C80" w:rsidP="003E2C80">
      <w:pPr>
        <w:pStyle w:val="SubHead"/>
        <w:rPr>
          <w:rFonts w:ascii="Arial" w:hAnsi="Arial" w:cs="Arial"/>
          <w:bCs/>
          <w:sz w:val="24"/>
        </w:rPr>
      </w:pPr>
    </w:p>
    <w:p w14:paraId="505238FB" w14:textId="77777777" w:rsidR="00CA1F7C" w:rsidRDefault="00CA1F7C" w:rsidP="003E2C80">
      <w:pPr>
        <w:pStyle w:val="SubHead"/>
        <w:rPr>
          <w:rFonts w:ascii="Arial" w:hAnsi="Arial" w:cs="Arial"/>
          <w:bCs/>
          <w:sz w:val="24"/>
        </w:rPr>
      </w:pPr>
    </w:p>
    <w:p w14:paraId="7D60D4B7" w14:textId="77777777" w:rsidR="00CA1F7C" w:rsidRDefault="00CA1F7C" w:rsidP="003E2C80">
      <w:pPr>
        <w:pStyle w:val="SubHead"/>
        <w:rPr>
          <w:rFonts w:ascii="Arial" w:hAnsi="Arial" w:cs="Arial"/>
          <w:bCs/>
          <w:sz w:val="24"/>
        </w:rPr>
      </w:pPr>
    </w:p>
    <w:p w14:paraId="06CD6107" w14:textId="77777777" w:rsidR="00CA1F7C" w:rsidRDefault="00CA1F7C" w:rsidP="003E2C80">
      <w:pPr>
        <w:pStyle w:val="SubHead"/>
        <w:rPr>
          <w:rFonts w:ascii="Arial" w:hAnsi="Arial" w:cs="Arial"/>
          <w:bCs/>
          <w:sz w:val="24"/>
        </w:rPr>
      </w:pPr>
    </w:p>
    <w:p w14:paraId="100FF66E" w14:textId="77777777" w:rsidR="00CA1F7C" w:rsidRDefault="00CA1F7C" w:rsidP="003E2C80">
      <w:pPr>
        <w:pStyle w:val="SubHead"/>
        <w:rPr>
          <w:rFonts w:ascii="Arial" w:hAnsi="Arial" w:cs="Arial"/>
          <w:bCs/>
          <w:sz w:val="24"/>
        </w:rPr>
      </w:pPr>
    </w:p>
    <w:p w14:paraId="4F6D85DE" w14:textId="77777777" w:rsidR="00CA1F7C" w:rsidRPr="00833179" w:rsidRDefault="00CA1F7C" w:rsidP="003E2C80">
      <w:pPr>
        <w:pStyle w:val="SubHead"/>
        <w:rPr>
          <w:rFonts w:ascii="Arial" w:hAnsi="Arial" w:cs="Arial"/>
          <w:bCs/>
          <w:sz w:val="24"/>
        </w:rPr>
      </w:pPr>
    </w:p>
    <w:p w14:paraId="752E5D9B" w14:textId="77777777" w:rsidR="0093756F" w:rsidRPr="00833179" w:rsidRDefault="0093756F" w:rsidP="0093756F">
      <w:pPr>
        <w:pStyle w:val="SubHead"/>
        <w:rPr>
          <w:rFonts w:ascii="Arial Black" w:hAnsi="Arial Black" w:cs="Arial"/>
          <w:b w:val="0"/>
          <w:bCs/>
          <w:color w:val="0082AA"/>
          <w:szCs w:val="28"/>
        </w:rPr>
      </w:pPr>
    </w:p>
    <w:p w14:paraId="752E5D9C" w14:textId="6C914C9D" w:rsidR="0093756F" w:rsidRPr="00833179" w:rsidRDefault="0093756F" w:rsidP="00617A5A">
      <w:pPr>
        <w:pStyle w:val="SubHead"/>
        <w:tabs>
          <w:tab w:val="center" w:pos="5102"/>
        </w:tabs>
        <w:rPr>
          <w:rFonts w:ascii="Arial Black" w:hAnsi="Arial Black" w:cs="Arial"/>
          <w:b w:val="0"/>
          <w:bCs/>
          <w:color w:val="0082AA"/>
          <w:szCs w:val="28"/>
        </w:rPr>
      </w:pPr>
      <w:r w:rsidRPr="00833179">
        <w:rPr>
          <w:rFonts w:ascii="Arial Black" w:hAnsi="Arial Black" w:cs="Arial"/>
          <w:b w:val="0"/>
          <w:bCs/>
          <w:color w:val="0082AA"/>
          <w:szCs w:val="28"/>
        </w:rPr>
        <w:t>Introduction</w:t>
      </w:r>
      <w:r w:rsidR="00617A5A">
        <w:rPr>
          <w:rFonts w:ascii="Arial Black" w:hAnsi="Arial Black" w:cs="Arial"/>
          <w:b w:val="0"/>
          <w:bCs/>
          <w:color w:val="0082AA"/>
          <w:szCs w:val="28"/>
        </w:rPr>
        <w:tab/>
      </w:r>
    </w:p>
    <w:p w14:paraId="752E5D9D" w14:textId="77777777" w:rsidR="0093756F" w:rsidRPr="00833179" w:rsidRDefault="0093756F" w:rsidP="0093756F">
      <w:pPr>
        <w:pStyle w:val="SubHead"/>
        <w:rPr>
          <w:rFonts w:ascii="Arial" w:hAnsi="Arial" w:cs="Arial"/>
          <w:bCs/>
          <w:sz w:val="24"/>
          <w:szCs w:val="24"/>
        </w:rPr>
      </w:pPr>
    </w:p>
    <w:p w14:paraId="0B6E5CA3" w14:textId="44207BBC" w:rsidR="00500D69" w:rsidRDefault="00500D69" w:rsidP="00500D69">
      <w:pPr>
        <w:rPr>
          <w:rFonts w:cs="Arial"/>
          <w:sz w:val="24"/>
        </w:rPr>
      </w:pPr>
      <w:r w:rsidRPr="003476D5">
        <w:rPr>
          <w:rFonts w:cs="Arial"/>
          <w:sz w:val="24"/>
        </w:rPr>
        <w:t>In order to provide additional resilience to support the Enhanced Cover Watch</w:t>
      </w:r>
      <w:r>
        <w:rPr>
          <w:rFonts w:cs="Arial"/>
          <w:sz w:val="24"/>
        </w:rPr>
        <w:t xml:space="preserve"> </w:t>
      </w:r>
      <w:r w:rsidRPr="003476D5">
        <w:rPr>
          <w:rFonts w:cs="Arial"/>
          <w:sz w:val="24"/>
        </w:rPr>
        <w:t>Manager (ECWM) and Flexible Duty System (FDS) Rotas, this document sets</w:t>
      </w:r>
      <w:r>
        <w:rPr>
          <w:rFonts w:cs="Arial"/>
          <w:sz w:val="24"/>
        </w:rPr>
        <w:t xml:space="preserve"> </w:t>
      </w:r>
      <w:r w:rsidRPr="003476D5">
        <w:rPr>
          <w:rFonts w:cs="Arial"/>
          <w:sz w:val="24"/>
        </w:rPr>
        <w:t xml:space="preserve">out the formal agreement regarding remuneration and expectations. </w:t>
      </w:r>
      <w:r w:rsidR="00CB26E4">
        <w:rPr>
          <w:rFonts w:cs="Arial"/>
          <w:sz w:val="24"/>
        </w:rPr>
        <w:t>Following a</w:t>
      </w:r>
      <w:r w:rsidRPr="003476D5">
        <w:rPr>
          <w:rFonts w:cs="Arial"/>
          <w:sz w:val="24"/>
        </w:rPr>
        <w:t xml:space="preserve"> pilot</w:t>
      </w:r>
      <w:r>
        <w:rPr>
          <w:rFonts w:cs="Arial"/>
          <w:sz w:val="24"/>
        </w:rPr>
        <w:t xml:space="preserve"> </w:t>
      </w:r>
      <w:r w:rsidR="00CB26E4">
        <w:rPr>
          <w:rFonts w:cs="Arial"/>
          <w:sz w:val="24"/>
        </w:rPr>
        <w:t>between</w:t>
      </w:r>
      <w:r w:rsidRPr="003476D5">
        <w:rPr>
          <w:rFonts w:cs="Arial"/>
          <w:sz w:val="24"/>
        </w:rPr>
        <w:t xml:space="preserve"> 1st June 2015 and </w:t>
      </w:r>
      <w:r w:rsidR="00CB26E4">
        <w:rPr>
          <w:rFonts w:cs="Arial"/>
          <w:sz w:val="24"/>
        </w:rPr>
        <w:t>3</w:t>
      </w:r>
      <w:r w:rsidRPr="003476D5">
        <w:rPr>
          <w:rFonts w:cs="Arial"/>
          <w:sz w:val="24"/>
        </w:rPr>
        <w:t>1st January 2016</w:t>
      </w:r>
      <w:r w:rsidR="00CB26E4">
        <w:rPr>
          <w:rFonts w:cs="Arial"/>
          <w:sz w:val="24"/>
        </w:rPr>
        <w:t>, the FBU and FOA have formally agreed to the adoption of this Policy</w:t>
      </w:r>
      <w:r w:rsidRPr="003476D5">
        <w:rPr>
          <w:rFonts w:cs="Arial"/>
          <w:sz w:val="24"/>
        </w:rPr>
        <w:t>.</w:t>
      </w:r>
    </w:p>
    <w:p w14:paraId="23E488B9" w14:textId="77777777" w:rsidR="00500D69" w:rsidRDefault="00500D69" w:rsidP="00500D69">
      <w:pPr>
        <w:rPr>
          <w:rFonts w:cs="Arial"/>
          <w:sz w:val="24"/>
        </w:rPr>
      </w:pPr>
    </w:p>
    <w:p w14:paraId="752E5DA6" w14:textId="77777777" w:rsidR="0093756F" w:rsidRPr="00833179" w:rsidRDefault="0093756F" w:rsidP="0093756F">
      <w:pPr>
        <w:rPr>
          <w:rFonts w:ascii="Arial Black" w:hAnsi="Arial Black" w:cs="Arial"/>
          <w:color w:val="0082AA"/>
          <w:sz w:val="28"/>
          <w:szCs w:val="28"/>
        </w:rPr>
      </w:pPr>
      <w:r w:rsidRPr="00833179">
        <w:rPr>
          <w:rFonts w:ascii="Arial Black" w:hAnsi="Arial Black" w:cs="Arial"/>
          <w:color w:val="0082AA"/>
          <w:sz w:val="28"/>
          <w:szCs w:val="28"/>
        </w:rPr>
        <w:t>Scope</w:t>
      </w:r>
    </w:p>
    <w:p w14:paraId="752E5DA7" w14:textId="77777777" w:rsidR="00833179" w:rsidRPr="00833179" w:rsidRDefault="00833179" w:rsidP="0093756F">
      <w:pPr>
        <w:rPr>
          <w:rFonts w:cs="Arial"/>
          <w:sz w:val="24"/>
        </w:rPr>
      </w:pPr>
    </w:p>
    <w:p w14:paraId="1111C334" w14:textId="115DDAD4" w:rsidR="00617A5A" w:rsidRPr="00FD3EA9" w:rsidRDefault="00617A5A" w:rsidP="00617A5A">
      <w:pPr>
        <w:rPr>
          <w:rFonts w:cs="Arial"/>
          <w:sz w:val="24"/>
        </w:rPr>
      </w:pPr>
      <w:r w:rsidRPr="00FD3EA9">
        <w:rPr>
          <w:rFonts w:cs="Arial"/>
          <w:sz w:val="24"/>
        </w:rPr>
        <w:t xml:space="preserve">This policy covers Grey Book CFRS </w:t>
      </w:r>
      <w:r w:rsidR="00062ABD">
        <w:rPr>
          <w:rFonts w:cs="Arial"/>
          <w:sz w:val="24"/>
        </w:rPr>
        <w:t>employees.</w:t>
      </w:r>
    </w:p>
    <w:p w14:paraId="752E5DA9" w14:textId="77777777" w:rsidR="00833179" w:rsidRPr="00833179" w:rsidRDefault="00833179" w:rsidP="0093756F">
      <w:pPr>
        <w:rPr>
          <w:rFonts w:cs="Arial"/>
          <w:sz w:val="24"/>
        </w:rPr>
      </w:pPr>
    </w:p>
    <w:p w14:paraId="752E5DAA" w14:textId="77777777" w:rsidR="0093756F" w:rsidRPr="00833179" w:rsidRDefault="0093756F" w:rsidP="00833179">
      <w:pPr>
        <w:spacing w:line="240" w:lineRule="auto"/>
        <w:rPr>
          <w:rFonts w:ascii="Arial Black" w:hAnsi="Arial Black"/>
          <w:b/>
          <w:sz w:val="28"/>
          <w:szCs w:val="28"/>
        </w:rPr>
      </w:pPr>
      <w:r w:rsidRPr="00833179">
        <w:rPr>
          <w:rFonts w:ascii="Arial Black" w:hAnsi="Arial Black"/>
          <w:b/>
          <w:color w:val="0082AA"/>
          <w:sz w:val="28"/>
          <w:szCs w:val="28"/>
        </w:rPr>
        <w:t>Principles</w:t>
      </w:r>
      <w:r w:rsidRPr="00833179">
        <w:rPr>
          <w:rFonts w:ascii="Arial Black" w:hAnsi="Arial Black"/>
          <w:b/>
          <w:sz w:val="28"/>
          <w:szCs w:val="28"/>
        </w:rPr>
        <w:t xml:space="preserve">  </w:t>
      </w:r>
    </w:p>
    <w:p w14:paraId="79CE3FD9" w14:textId="77777777" w:rsidR="009035A7" w:rsidRDefault="009035A7" w:rsidP="009035A7">
      <w:pPr>
        <w:rPr>
          <w:rFonts w:cs="Arial"/>
          <w:sz w:val="24"/>
        </w:rPr>
      </w:pPr>
    </w:p>
    <w:p w14:paraId="0E5925AE" w14:textId="09D9CBA6" w:rsidR="00CA1F7C" w:rsidRDefault="00500D69" w:rsidP="0093756F">
      <w:pPr>
        <w:spacing w:line="240" w:lineRule="auto"/>
      </w:pPr>
      <w:r w:rsidRPr="003476D5">
        <w:rPr>
          <w:rFonts w:cs="Arial"/>
          <w:sz w:val="24"/>
        </w:rPr>
        <w:t>The purpose of this agreement is not to conflict with the existing duty system</w:t>
      </w:r>
      <w:r>
        <w:rPr>
          <w:rFonts w:cs="Arial"/>
          <w:sz w:val="24"/>
        </w:rPr>
        <w:t xml:space="preserve"> </w:t>
      </w:r>
      <w:r w:rsidRPr="003476D5">
        <w:rPr>
          <w:rFonts w:cs="Arial"/>
          <w:sz w:val="24"/>
        </w:rPr>
        <w:t>agreements, nor is it intended to replace the recall to duty policy. The purpose</w:t>
      </w:r>
      <w:r>
        <w:rPr>
          <w:rFonts w:cs="Arial"/>
          <w:sz w:val="24"/>
        </w:rPr>
        <w:t xml:space="preserve"> </w:t>
      </w:r>
      <w:r w:rsidRPr="003476D5">
        <w:rPr>
          <w:rFonts w:cs="Arial"/>
          <w:sz w:val="24"/>
        </w:rPr>
        <w:t>is to provide additional resilience and to provide clarity on voluntary additional</w:t>
      </w:r>
      <w:r>
        <w:rPr>
          <w:rFonts w:cs="Arial"/>
          <w:sz w:val="24"/>
        </w:rPr>
        <w:t xml:space="preserve"> </w:t>
      </w:r>
      <w:r w:rsidRPr="003476D5">
        <w:rPr>
          <w:rFonts w:cs="Arial"/>
          <w:sz w:val="24"/>
        </w:rPr>
        <w:t>standby hours that may be provided by Managers.</w:t>
      </w:r>
    </w:p>
    <w:p w14:paraId="1E0BA71A" w14:textId="32E1F344" w:rsidR="00CA1F7C" w:rsidRDefault="00CA1F7C">
      <w:pPr>
        <w:spacing w:line="240" w:lineRule="auto"/>
      </w:pPr>
    </w:p>
    <w:p w14:paraId="752E5DB0" w14:textId="17859704" w:rsidR="0093756F" w:rsidRPr="00500D69" w:rsidRDefault="00CA1F7C" w:rsidP="0093756F">
      <w:pPr>
        <w:spacing w:line="240" w:lineRule="auto"/>
      </w:pPr>
      <w:r>
        <w:br w:type="page"/>
      </w:r>
      <w:hyperlink r:id="rId13" w:tgtFrame="_new" w:tooltip="View this document (eLibrary ref #52402)" w:history="1">
        <w:r w:rsidR="00A75050" w:rsidRPr="00833179">
          <w:rPr>
            <w:rStyle w:val="Hyperlink"/>
            <w:rFonts w:ascii="Arial Black" w:hAnsi="Arial Black" w:cs="Arial"/>
            <w:color w:val="0082AA"/>
            <w:sz w:val="28"/>
            <w:szCs w:val="28"/>
          </w:rPr>
          <w:t>Procedure</w:t>
        </w:r>
      </w:hyperlink>
    </w:p>
    <w:p w14:paraId="48D88142" w14:textId="77777777" w:rsidR="006B0CA7" w:rsidRPr="00500D69" w:rsidRDefault="006B0CA7" w:rsidP="006B0CA7">
      <w:pPr>
        <w:rPr>
          <w:rFonts w:cs="Arial"/>
          <w:sz w:val="16"/>
          <w:szCs w:val="16"/>
        </w:rPr>
      </w:pPr>
    </w:p>
    <w:p w14:paraId="6941D8F1" w14:textId="77777777" w:rsidR="00500D69" w:rsidRPr="003476D5" w:rsidRDefault="00500D69" w:rsidP="00500D69">
      <w:pPr>
        <w:rPr>
          <w:rFonts w:cs="Arial"/>
          <w:b/>
          <w:sz w:val="24"/>
        </w:rPr>
      </w:pPr>
      <w:r w:rsidRPr="003476D5">
        <w:rPr>
          <w:rFonts w:cs="Arial"/>
          <w:b/>
          <w:sz w:val="24"/>
        </w:rPr>
        <w:t>Resilience</w:t>
      </w:r>
    </w:p>
    <w:p w14:paraId="1E2C7576" w14:textId="77777777" w:rsidR="00500D69" w:rsidRPr="00500D69" w:rsidRDefault="00500D69" w:rsidP="00500D69">
      <w:pPr>
        <w:rPr>
          <w:rFonts w:cs="Arial"/>
          <w:sz w:val="16"/>
          <w:szCs w:val="16"/>
        </w:rPr>
      </w:pPr>
    </w:p>
    <w:p w14:paraId="2AA2F687"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The Service has a number of duty systems to provide Managerial operational cover across the county. In order to provide additional resilience Managers may, at times, be offered additional standby shifts to support effective and efficient working.</w:t>
      </w:r>
    </w:p>
    <w:p w14:paraId="48D85788" w14:textId="77777777" w:rsidR="00500D69" w:rsidRPr="00500D69" w:rsidRDefault="00500D69" w:rsidP="00500D69">
      <w:pPr>
        <w:ind w:left="284" w:hanging="284"/>
        <w:rPr>
          <w:rFonts w:cs="Arial"/>
          <w:sz w:val="16"/>
          <w:szCs w:val="16"/>
        </w:rPr>
      </w:pPr>
    </w:p>
    <w:p w14:paraId="2EA2E8FB"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Any additional cover provided by Managers will be monitored to ensure the Working Time Regulations are complied with and will be on a purely voluntary basis.</w:t>
      </w:r>
    </w:p>
    <w:p w14:paraId="3AD0A03A" w14:textId="77777777" w:rsidR="00500D69" w:rsidRPr="00500D69" w:rsidRDefault="00500D69" w:rsidP="00500D69">
      <w:pPr>
        <w:ind w:left="284" w:hanging="284"/>
        <w:rPr>
          <w:rFonts w:cs="Arial"/>
          <w:sz w:val="16"/>
          <w:szCs w:val="16"/>
        </w:rPr>
      </w:pPr>
    </w:p>
    <w:p w14:paraId="709FB000"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Existing Grey hours will be expected to be used in the first instance and in accordance with the stated duty system policies. In addition, the Service will consider temporary promotions and acting up arrangements but at times may decide to offer additional shifts in order to provide the efficient operational cover.</w:t>
      </w:r>
    </w:p>
    <w:p w14:paraId="392FF586" w14:textId="77777777" w:rsidR="00500D69" w:rsidRPr="00500D69" w:rsidRDefault="00500D69" w:rsidP="00500D69">
      <w:pPr>
        <w:ind w:left="284" w:hanging="284"/>
        <w:rPr>
          <w:rFonts w:cs="Arial"/>
          <w:sz w:val="16"/>
          <w:szCs w:val="16"/>
        </w:rPr>
      </w:pPr>
    </w:p>
    <w:p w14:paraId="7FEAE387" w14:textId="3525856C" w:rsidR="00500D69" w:rsidRPr="00500D69" w:rsidRDefault="00500D69" w:rsidP="00500D69">
      <w:pPr>
        <w:pStyle w:val="ListParagraph"/>
        <w:numPr>
          <w:ilvl w:val="0"/>
          <w:numId w:val="22"/>
        </w:numPr>
        <w:ind w:left="284" w:hanging="284"/>
        <w:rPr>
          <w:rFonts w:cs="Arial"/>
          <w:sz w:val="24"/>
        </w:rPr>
      </w:pPr>
      <w:r w:rsidRPr="00500D69">
        <w:rPr>
          <w:rFonts w:cs="Arial"/>
          <w:sz w:val="24"/>
        </w:rPr>
        <w:t xml:space="preserve">The Head of Service Delivery will be responsible for overseeing this </w:t>
      </w:r>
      <w:r w:rsidR="00CB26E4">
        <w:rPr>
          <w:rFonts w:cs="Arial"/>
          <w:sz w:val="24"/>
        </w:rPr>
        <w:t>Policy</w:t>
      </w:r>
      <w:r w:rsidRPr="00500D69">
        <w:rPr>
          <w:rFonts w:cs="Arial"/>
          <w:sz w:val="24"/>
        </w:rPr>
        <w:t xml:space="preserve"> and in collaboration with the </w:t>
      </w:r>
      <w:r w:rsidR="00CB26E4">
        <w:rPr>
          <w:rFonts w:cs="Arial"/>
          <w:sz w:val="24"/>
        </w:rPr>
        <w:t>Operational Commanders</w:t>
      </w:r>
      <w:r w:rsidRPr="00500D69">
        <w:rPr>
          <w:rFonts w:cs="Arial"/>
          <w:sz w:val="24"/>
        </w:rPr>
        <w:t>, will decide where and when voluntary overtime for standby duties is to be offered.</w:t>
      </w:r>
    </w:p>
    <w:p w14:paraId="7127A7AD" w14:textId="77777777" w:rsidR="00500D69" w:rsidRPr="00500D69" w:rsidRDefault="00500D69" w:rsidP="00500D69">
      <w:pPr>
        <w:rPr>
          <w:rFonts w:cs="Arial"/>
          <w:sz w:val="16"/>
          <w:szCs w:val="16"/>
        </w:rPr>
      </w:pPr>
    </w:p>
    <w:p w14:paraId="19589EF2" w14:textId="77777777" w:rsidR="00500D69" w:rsidRDefault="00500D69" w:rsidP="00500D69">
      <w:pPr>
        <w:tabs>
          <w:tab w:val="left" w:pos="1671"/>
        </w:tabs>
        <w:rPr>
          <w:rFonts w:cs="Arial"/>
          <w:b/>
          <w:sz w:val="24"/>
        </w:rPr>
      </w:pPr>
      <w:r w:rsidRPr="003476D5">
        <w:rPr>
          <w:rFonts w:cs="Arial"/>
          <w:b/>
          <w:sz w:val="24"/>
        </w:rPr>
        <w:t>Payment</w:t>
      </w:r>
    </w:p>
    <w:p w14:paraId="77D67092" w14:textId="77777777" w:rsidR="00500D69" w:rsidRPr="00500D69" w:rsidRDefault="00500D69" w:rsidP="00500D69">
      <w:pPr>
        <w:tabs>
          <w:tab w:val="left" w:pos="1671"/>
        </w:tabs>
        <w:rPr>
          <w:rFonts w:cs="Arial"/>
          <w:b/>
          <w:sz w:val="16"/>
          <w:szCs w:val="16"/>
        </w:rPr>
      </w:pPr>
    </w:p>
    <w:p w14:paraId="78A975E4"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Payment is based on the grey book allowance for single rate plus enhancement (20% or 15% depending on duty system) divided by 4 to give a 1:4 standby ratio as per the Grey Book.</w:t>
      </w:r>
    </w:p>
    <w:p w14:paraId="181C988D" w14:textId="77777777" w:rsidR="00500D69" w:rsidRPr="00500D69" w:rsidRDefault="00500D69" w:rsidP="00500D69">
      <w:pPr>
        <w:ind w:left="284" w:hanging="284"/>
        <w:rPr>
          <w:rFonts w:cs="Arial"/>
          <w:sz w:val="16"/>
          <w:szCs w:val="16"/>
        </w:rPr>
      </w:pPr>
    </w:p>
    <w:p w14:paraId="1C152248"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Payment will be made for the standby cover only. Payment will be based on the single time role rate for standby hours (plus enhancement rate) as detailed in the table below. 14.67 hours weekday (15.4 hours for ECWMs on the 1 in 5 rota) and 24 hours weekend shifts.</w:t>
      </w:r>
    </w:p>
    <w:p w14:paraId="71D0DB73" w14:textId="77777777" w:rsidR="00500D69" w:rsidRPr="00500D69" w:rsidRDefault="00500D69" w:rsidP="00500D69">
      <w:pPr>
        <w:ind w:left="284" w:hanging="284"/>
        <w:rPr>
          <w:rFonts w:cs="Arial"/>
          <w:sz w:val="16"/>
          <w:szCs w:val="16"/>
        </w:rPr>
      </w:pPr>
    </w:p>
    <w:p w14:paraId="747FCCED"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This payment will be a payment for the whole shift covered. Any positive hours worked during the additional cover will not subtract from the payment for standby and will attract plain time hour accrual and these will be added to time records and taken back in accordance with existing duty system agreements.</w:t>
      </w:r>
    </w:p>
    <w:p w14:paraId="65E58D91" w14:textId="77777777" w:rsidR="00500D69" w:rsidRPr="00500D69" w:rsidRDefault="00500D69" w:rsidP="00500D69">
      <w:pPr>
        <w:ind w:left="284" w:hanging="284"/>
        <w:rPr>
          <w:rFonts w:cs="Arial"/>
          <w:sz w:val="16"/>
          <w:szCs w:val="16"/>
        </w:rPr>
      </w:pPr>
    </w:p>
    <w:p w14:paraId="3274DC0D" w14:textId="77777777" w:rsidR="00500D69" w:rsidRPr="00500D69" w:rsidRDefault="00500D69" w:rsidP="00500D69">
      <w:pPr>
        <w:pStyle w:val="ListParagraph"/>
        <w:numPr>
          <w:ilvl w:val="0"/>
          <w:numId w:val="22"/>
        </w:numPr>
        <w:ind w:left="284" w:hanging="284"/>
        <w:rPr>
          <w:rFonts w:cs="Arial"/>
          <w:sz w:val="24"/>
        </w:rPr>
      </w:pPr>
      <w:r w:rsidRPr="00500D69">
        <w:rPr>
          <w:rFonts w:cs="Arial"/>
          <w:sz w:val="24"/>
        </w:rPr>
        <w:t>Table based on salary rates as at the time of this agreement. The rates will increase in accordance with any national pay increments. (Note: rates revised as of 1st July 2015).</w:t>
      </w:r>
    </w:p>
    <w:p w14:paraId="482AB989" w14:textId="77777777" w:rsidR="00500D69" w:rsidRPr="00500D69" w:rsidRDefault="00500D69" w:rsidP="00500D69">
      <w:pPr>
        <w:rPr>
          <w:rFonts w:cs="Arial"/>
          <w:sz w:val="16"/>
          <w:szCs w:val="16"/>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66"/>
        <w:gridCol w:w="852"/>
        <w:gridCol w:w="791"/>
        <w:gridCol w:w="767"/>
        <w:gridCol w:w="681"/>
        <w:gridCol w:w="978"/>
        <w:gridCol w:w="818"/>
        <w:gridCol w:w="597"/>
        <w:gridCol w:w="767"/>
        <w:gridCol w:w="474"/>
        <w:gridCol w:w="767"/>
        <w:gridCol w:w="470"/>
        <w:gridCol w:w="889"/>
      </w:tblGrid>
      <w:tr w:rsidR="00500D69" w:rsidRPr="00500D69" w14:paraId="0835A560" w14:textId="77777777" w:rsidTr="00500D69">
        <w:tc>
          <w:tcPr>
            <w:tcW w:w="716" w:type="dxa"/>
          </w:tcPr>
          <w:p w14:paraId="2A1C9C4E" w14:textId="77777777" w:rsidR="00500D69" w:rsidRPr="00500D69" w:rsidRDefault="00500D69" w:rsidP="00EA3981">
            <w:pPr>
              <w:rPr>
                <w:rFonts w:cs="Arial"/>
                <w:sz w:val="22"/>
                <w:szCs w:val="22"/>
              </w:rPr>
            </w:pPr>
            <w:r w:rsidRPr="00500D69">
              <w:rPr>
                <w:rFonts w:cs="Arial"/>
                <w:sz w:val="22"/>
                <w:szCs w:val="22"/>
              </w:rPr>
              <w:t>Role</w:t>
            </w:r>
          </w:p>
        </w:tc>
        <w:tc>
          <w:tcPr>
            <w:tcW w:w="794" w:type="dxa"/>
          </w:tcPr>
          <w:p w14:paraId="26A52684" w14:textId="77777777" w:rsidR="00500D69" w:rsidRPr="00500D69" w:rsidRDefault="00500D69" w:rsidP="00EA3981">
            <w:pPr>
              <w:rPr>
                <w:rFonts w:cs="Arial"/>
                <w:sz w:val="22"/>
                <w:szCs w:val="22"/>
              </w:rPr>
            </w:pPr>
            <w:r w:rsidRPr="00500D69">
              <w:rPr>
                <w:rFonts w:cs="Arial"/>
                <w:sz w:val="22"/>
                <w:szCs w:val="22"/>
              </w:rPr>
              <w:t>Hourly Rate</w:t>
            </w:r>
          </w:p>
        </w:tc>
        <w:tc>
          <w:tcPr>
            <w:tcW w:w="747" w:type="dxa"/>
          </w:tcPr>
          <w:p w14:paraId="28C3690D" w14:textId="77777777" w:rsidR="00500D69" w:rsidRPr="00500D69" w:rsidRDefault="00500D69" w:rsidP="00EA3981">
            <w:pPr>
              <w:rPr>
                <w:rFonts w:cs="Arial"/>
                <w:sz w:val="22"/>
                <w:szCs w:val="22"/>
              </w:rPr>
            </w:pPr>
            <w:r w:rsidRPr="00500D69">
              <w:rPr>
                <w:rFonts w:cs="Arial"/>
                <w:sz w:val="22"/>
                <w:szCs w:val="22"/>
              </w:rPr>
              <w:t>+ Stand by</w:t>
            </w:r>
          </w:p>
        </w:tc>
        <w:tc>
          <w:tcPr>
            <w:tcW w:w="1386" w:type="dxa"/>
            <w:gridSpan w:val="2"/>
          </w:tcPr>
          <w:p w14:paraId="6BA1DC0E" w14:textId="77777777" w:rsidR="00500D69" w:rsidRPr="00500D69" w:rsidRDefault="00500D69" w:rsidP="00EA3981">
            <w:pPr>
              <w:rPr>
                <w:rFonts w:cs="Arial"/>
                <w:sz w:val="22"/>
                <w:szCs w:val="22"/>
              </w:rPr>
            </w:pPr>
            <w:r w:rsidRPr="00500D69">
              <w:rPr>
                <w:rFonts w:cs="Arial"/>
                <w:sz w:val="22"/>
                <w:szCs w:val="22"/>
              </w:rPr>
              <w:t>FDS Allowance (20%)</w:t>
            </w:r>
          </w:p>
        </w:tc>
        <w:tc>
          <w:tcPr>
            <w:tcW w:w="1796" w:type="dxa"/>
            <w:gridSpan w:val="2"/>
            <w:tcBorders>
              <w:right w:val="double" w:sz="4" w:space="0" w:color="FF0000"/>
            </w:tcBorders>
          </w:tcPr>
          <w:p w14:paraId="3B83F81A" w14:textId="77777777" w:rsidR="00500D69" w:rsidRPr="00500D69" w:rsidRDefault="00500D69" w:rsidP="00EA3981">
            <w:pPr>
              <w:rPr>
                <w:rFonts w:cs="Arial"/>
                <w:sz w:val="22"/>
                <w:szCs w:val="22"/>
              </w:rPr>
            </w:pPr>
            <w:r w:rsidRPr="00500D69">
              <w:rPr>
                <w:rFonts w:cs="Arial"/>
                <w:sz w:val="22"/>
                <w:szCs w:val="22"/>
              </w:rPr>
              <w:t>ECWM Allowance (15%)</w:t>
            </w:r>
          </w:p>
        </w:tc>
        <w:tc>
          <w:tcPr>
            <w:tcW w:w="1314" w:type="dxa"/>
            <w:gridSpan w:val="2"/>
            <w:tcBorders>
              <w:top w:val="double" w:sz="4" w:space="0" w:color="FF0000"/>
              <w:left w:val="double" w:sz="4" w:space="0" w:color="FF0000"/>
              <w:bottom w:val="double" w:sz="4" w:space="0" w:color="FF0000"/>
              <w:right w:val="double" w:sz="4" w:space="0" w:color="FF0000"/>
            </w:tcBorders>
          </w:tcPr>
          <w:p w14:paraId="50D1D064" w14:textId="77777777" w:rsidR="00500D69" w:rsidRPr="00500D69" w:rsidRDefault="00500D69" w:rsidP="00EA3981">
            <w:pPr>
              <w:rPr>
                <w:rFonts w:cs="Arial"/>
                <w:sz w:val="22"/>
                <w:szCs w:val="22"/>
              </w:rPr>
            </w:pPr>
            <w:r w:rsidRPr="00500D69">
              <w:rPr>
                <w:rFonts w:cs="Arial"/>
                <w:sz w:val="22"/>
                <w:szCs w:val="22"/>
              </w:rPr>
              <w:t>15.6hr standby</w:t>
            </w:r>
          </w:p>
        </w:tc>
        <w:tc>
          <w:tcPr>
            <w:tcW w:w="1191" w:type="dxa"/>
            <w:gridSpan w:val="2"/>
            <w:tcBorders>
              <w:top w:val="double" w:sz="4" w:space="0" w:color="FF0000"/>
              <w:left w:val="double" w:sz="4" w:space="0" w:color="FF0000"/>
              <w:bottom w:val="double" w:sz="4" w:space="0" w:color="FF0000"/>
              <w:right w:val="double" w:sz="4" w:space="0" w:color="FF0000"/>
            </w:tcBorders>
          </w:tcPr>
          <w:p w14:paraId="1C346918" w14:textId="77777777" w:rsidR="00500D69" w:rsidRPr="00500D69" w:rsidRDefault="00500D69" w:rsidP="00EA3981">
            <w:pPr>
              <w:rPr>
                <w:rFonts w:cs="Arial"/>
                <w:sz w:val="22"/>
                <w:szCs w:val="22"/>
              </w:rPr>
            </w:pPr>
            <w:r w:rsidRPr="00500D69">
              <w:rPr>
                <w:rFonts w:cs="Arial"/>
                <w:sz w:val="22"/>
                <w:szCs w:val="22"/>
              </w:rPr>
              <w:t>14.33hr standby</w:t>
            </w:r>
          </w:p>
        </w:tc>
        <w:tc>
          <w:tcPr>
            <w:tcW w:w="1298" w:type="dxa"/>
            <w:gridSpan w:val="2"/>
            <w:tcBorders>
              <w:top w:val="double" w:sz="4" w:space="0" w:color="FF0000"/>
              <w:left w:val="double" w:sz="4" w:space="0" w:color="FF0000"/>
              <w:bottom w:val="double" w:sz="4" w:space="0" w:color="FF0000"/>
              <w:right w:val="double" w:sz="4" w:space="0" w:color="FF0000"/>
            </w:tcBorders>
          </w:tcPr>
          <w:p w14:paraId="21B06C40" w14:textId="77777777" w:rsidR="00500D69" w:rsidRPr="00500D69" w:rsidRDefault="00500D69" w:rsidP="00EA3981">
            <w:pPr>
              <w:rPr>
                <w:rFonts w:cs="Arial"/>
                <w:sz w:val="22"/>
                <w:szCs w:val="22"/>
              </w:rPr>
            </w:pPr>
            <w:r w:rsidRPr="00500D69">
              <w:rPr>
                <w:rFonts w:cs="Arial"/>
                <w:sz w:val="22"/>
                <w:szCs w:val="22"/>
              </w:rPr>
              <w:t>24hr standby</w:t>
            </w:r>
          </w:p>
        </w:tc>
      </w:tr>
      <w:tr w:rsidR="00500D69" w:rsidRPr="00500D69" w14:paraId="2F86ADBB" w14:textId="77777777" w:rsidTr="00500D69">
        <w:tc>
          <w:tcPr>
            <w:tcW w:w="716" w:type="dxa"/>
          </w:tcPr>
          <w:p w14:paraId="0D160A5A" w14:textId="77777777" w:rsidR="00500D69" w:rsidRPr="00500D69" w:rsidRDefault="00500D69" w:rsidP="00EA3981">
            <w:pPr>
              <w:rPr>
                <w:rFonts w:cs="Arial"/>
                <w:sz w:val="22"/>
                <w:szCs w:val="22"/>
              </w:rPr>
            </w:pPr>
          </w:p>
        </w:tc>
        <w:tc>
          <w:tcPr>
            <w:tcW w:w="794" w:type="dxa"/>
          </w:tcPr>
          <w:p w14:paraId="2197D432" w14:textId="77777777" w:rsidR="00500D69" w:rsidRPr="00500D69" w:rsidRDefault="00500D69" w:rsidP="00EA3981">
            <w:pPr>
              <w:rPr>
                <w:rFonts w:cs="Arial"/>
                <w:sz w:val="22"/>
                <w:szCs w:val="22"/>
              </w:rPr>
            </w:pPr>
          </w:p>
        </w:tc>
        <w:tc>
          <w:tcPr>
            <w:tcW w:w="747" w:type="dxa"/>
          </w:tcPr>
          <w:p w14:paraId="58B4502A" w14:textId="77777777" w:rsidR="00500D69" w:rsidRPr="00500D69" w:rsidRDefault="00500D69" w:rsidP="00EA3981">
            <w:pPr>
              <w:rPr>
                <w:rFonts w:cs="Arial"/>
                <w:sz w:val="22"/>
                <w:szCs w:val="22"/>
              </w:rPr>
            </w:pPr>
          </w:p>
        </w:tc>
        <w:tc>
          <w:tcPr>
            <w:tcW w:w="720" w:type="dxa"/>
          </w:tcPr>
          <w:p w14:paraId="18743879" w14:textId="77777777" w:rsidR="00500D69" w:rsidRPr="00500D69" w:rsidRDefault="00500D69" w:rsidP="00EA3981">
            <w:pPr>
              <w:rPr>
                <w:rFonts w:cs="Arial"/>
                <w:sz w:val="22"/>
                <w:szCs w:val="22"/>
              </w:rPr>
            </w:pPr>
            <w:r w:rsidRPr="00500D69">
              <w:rPr>
                <w:rFonts w:cs="Arial"/>
                <w:sz w:val="22"/>
                <w:szCs w:val="22"/>
              </w:rPr>
              <w:t>Basic</w:t>
            </w:r>
          </w:p>
        </w:tc>
        <w:tc>
          <w:tcPr>
            <w:tcW w:w="666" w:type="dxa"/>
          </w:tcPr>
          <w:p w14:paraId="3DA72BEF" w14:textId="77777777" w:rsidR="00500D69" w:rsidRPr="00500D69" w:rsidRDefault="00500D69" w:rsidP="00EA3981">
            <w:pPr>
              <w:rPr>
                <w:rFonts w:cs="Arial"/>
                <w:sz w:val="22"/>
                <w:szCs w:val="22"/>
              </w:rPr>
            </w:pPr>
            <w:r w:rsidRPr="00500D69">
              <w:rPr>
                <w:rFonts w:cs="Arial"/>
                <w:sz w:val="22"/>
                <w:szCs w:val="22"/>
              </w:rPr>
              <w:t>S/By</w:t>
            </w:r>
          </w:p>
          <w:p w14:paraId="514D4F95" w14:textId="77777777" w:rsidR="00500D69" w:rsidRPr="00500D69" w:rsidRDefault="00500D69" w:rsidP="00EA3981">
            <w:pPr>
              <w:rPr>
                <w:rFonts w:cs="Arial"/>
                <w:sz w:val="22"/>
                <w:szCs w:val="22"/>
              </w:rPr>
            </w:pPr>
            <w:r w:rsidRPr="00500D69">
              <w:rPr>
                <w:rFonts w:cs="Arial"/>
                <w:sz w:val="22"/>
                <w:szCs w:val="22"/>
              </w:rPr>
              <w:t>1:4</w:t>
            </w:r>
          </w:p>
        </w:tc>
        <w:tc>
          <w:tcPr>
            <w:tcW w:w="978" w:type="dxa"/>
          </w:tcPr>
          <w:p w14:paraId="1DF2E637" w14:textId="77777777" w:rsidR="00500D69" w:rsidRPr="00500D69" w:rsidRDefault="00500D69" w:rsidP="00EA3981">
            <w:pPr>
              <w:rPr>
                <w:rFonts w:cs="Arial"/>
                <w:sz w:val="22"/>
                <w:szCs w:val="22"/>
              </w:rPr>
            </w:pPr>
            <w:r w:rsidRPr="00500D69">
              <w:rPr>
                <w:rFonts w:cs="Arial"/>
                <w:sz w:val="22"/>
                <w:szCs w:val="22"/>
              </w:rPr>
              <w:t>Basic</w:t>
            </w:r>
          </w:p>
        </w:tc>
        <w:tc>
          <w:tcPr>
            <w:tcW w:w="818" w:type="dxa"/>
          </w:tcPr>
          <w:p w14:paraId="0A7692B7" w14:textId="77777777" w:rsidR="00500D69" w:rsidRPr="00500D69" w:rsidRDefault="00500D69" w:rsidP="00EA3981">
            <w:pPr>
              <w:rPr>
                <w:rFonts w:cs="Arial"/>
                <w:sz w:val="22"/>
                <w:szCs w:val="22"/>
              </w:rPr>
            </w:pPr>
            <w:r w:rsidRPr="00500D69">
              <w:rPr>
                <w:rFonts w:cs="Arial"/>
                <w:sz w:val="22"/>
                <w:szCs w:val="22"/>
              </w:rPr>
              <w:t>S/By</w:t>
            </w:r>
          </w:p>
          <w:p w14:paraId="01E73BF1" w14:textId="77777777" w:rsidR="00500D69" w:rsidRPr="00500D69" w:rsidRDefault="00500D69" w:rsidP="00EA3981">
            <w:pPr>
              <w:rPr>
                <w:rFonts w:cs="Arial"/>
                <w:sz w:val="22"/>
                <w:szCs w:val="22"/>
              </w:rPr>
            </w:pPr>
            <w:r w:rsidRPr="00500D69">
              <w:rPr>
                <w:rFonts w:cs="Arial"/>
                <w:sz w:val="22"/>
                <w:szCs w:val="22"/>
              </w:rPr>
              <w:t>1:4</w:t>
            </w:r>
          </w:p>
        </w:tc>
        <w:tc>
          <w:tcPr>
            <w:tcW w:w="597" w:type="dxa"/>
            <w:tcBorders>
              <w:top w:val="double" w:sz="4" w:space="0" w:color="FF0000"/>
            </w:tcBorders>
          </w:tcPr>
          <w:p w14:paraId="1EF34EA4" w14:textId="77777777" w:rsidR="00500D69" w:rsidRPr="00500D69" w:rsidRDefault="00500D69" w:rsidP="00EA3981">
            <w:pPr>
              <w:rPr>
                <w:rFonts w:cs="Arial"/>
                <w:sz w:val="22"/>
                <w:szCs w:val="22"/>
              </w:rPr>
            </w:pPr>
          </w:p>
        </w:tc>
        <w:tc>
          <w:tcPr>
            <w:tcW w:w="717" w:type="dxa"/>
            <w:tcBorders>
              <w:top w:val="double" w:sz="4" w:space="0" w:color="FF0000"/>
            </w:tcBorders>
          </w:tcPr>
          <w:p w14:paraId="771CA4FF" w14:textId="77777777" w:rsidR="00500D69" w:rsidRPr="00500D69" w:rsidRDefault="00500D69" w:rsidP="00EA3981">
            <w:pPr>
              <w:rPr>
                <w:rFonts w:cs="Arial"/>
                <w:sz w:val="22"/>
                <w:szCs w:val="22"/>
              </w:rPr>
            </w:pPr>
            <w:r w:rsidRPr="00500D69">
              <w:rPr>
                <w:rFonts w:cs="Arial"/>
                <w:sz w:val="22"/>
                <w:szCs w:val="22"/>
              </w:rPr>
              <w:t>S/BY</w:t>
            </w:r>
          </w:p>
          <w:p w14:paraId="20F2BD0E" w14:textId="77777777" w:rsidR="00500D69" w:rsidRPr="00500D69" w:rsidRDefault="00500D69" w:rsidP="00EA3981">
            <w:pPr>
              <w:rPr>
                <w:rFonts w:cs="Arial"/>
                <w:sz w:val="22"/>
                <w:szCs w:val="22"/>
              </w:rPr>
            </w:pPr>
            <w:r w:rsidRPr="00500D69">
              <w:rPr>
                <w:rFonts w:cs="Arial"/>
                <w:sz w:val="22"/>
                <w:szCs w:val="22"/>
              </w:rPr>
              <w:t>Rate</w:t>
            </w:r>
          </w:p>
        </w:tc>
        <w:tc>
          <w:tcPr>
            <w:tcW w:w="474" w:type="dxa"/>
            <w:tcBorders>
              <w:top w:val="double" w:sz="4" w:space="0" w:color="FF0000"/>
            </w:tcBorders>
          </w:tcPr>
          <w:p w14:paraId="1B4B83A7" w14:textId="77777777" w:rsidR="00500D69" w:rsidRPr="00500D69" w:rsidRDefault="00500D69" w:rsidP="00EA3981">
            <w:pPr>
              <w:rPr>
                <w:rFonts w:cs="Arial"/>
                <w:sz w:val="22"/>
                <w:szCs w:val="22"/>
              </w:rPr>
            </w:pPr>
          </w:p>
        </w:tc>
        <w:tc>
          <w:tcPr>
            <w:tcW w:w="717" w:type="dxa"/>
            <w:tcBorders>
              <w:top w:val="double" w:sz="4" w:space="0" w:color="FF0000"/>
            </w:tcBorders>
          </w:tcPr>
          <w:p w14:paraId="3B064EAC" w14:textId="77777777" w:rsidR="00500D69" w:rsidRPr="00500D69" w:rsidRDefault="00500D69" w:rsidP="00EA3981">
            <w:pPr>
              <w:rPr>
                <w:rFonts w:cs="Arial"/>
                <w:sz w:val="22"/>
                <w:szCs w:val="22"/>
              </w:rPr>
            </w:pPr>
            <w:r w:rsidRPr="00500D69">
              <w:rPr>
                <w:rFonts w:cs="Arial"/>
                <w:sz w:val="22"/>
                <w:szCs w:val="22"/>
              </w:rPr>
              <w:t>S/BY</w:t>
            </w:r>
          </w:p>
          <w:p w14:paraId="7C04EE61" w14:textId="77777777" w:rsidR="00500D69" w:rsidRPr="00500D69" w:rsidRDefault="00500D69" w:rsidP="00EA3981">
            <w:pPr>
              <w:rPr>
                <w:rFonts w:cs="Arial"/>
                <w:sz w:val="22"/>
                <w:szCs w:val="22"/>
              </w:rPr>
            </w:pPr>
            <w:r w:rsidRPr="00500D69">
              <w:rPr>
                <w:rFonts w:cs="Arial"/>
                <w:sz w:val="22"/>
                <w:szCs w:val="22"/>
              </w:rPr>
              <w:t>Rate</w:t>
            </w:r>
          </w:p>
        </w:tc>
        <w:tc>
          <w:tcPr>
            <w:tcW w:w="470" w:type="dxa"/>
            <w:tcBorders>
              <w:top w:val="double" w:sz="4" w:space="0" w:color="FF0000"/>
            </w:tcBorders>
          </w:tcPr>
          <w:p w14:paraId="6439ED88" w14:textId="77777777" w:rsidR="00500D69" w:rsidRPr="00500D69" w:rsidRDefault="00500D69" w:rsidP="00EA3981">
            <w:pPr>
              <w:rPr>
                <w:rFonts w:cs="Arial"/>
                <w:sz w:val="22"/>
                <w:szCs w:val="22"/>
              </w:rPr>
            </w:pPr>
          </w:p>
        </w:tc>
        <w:tc>
          <w:tcPr>
            <w:tcW w:w="828" w:type="dxa"/>
            <w:tcBorders>
              <w:top w:val="double" w:sz="4" w:space="0" w:color="FF0000"/>
            </w:tcBorders>
          </w:tcPr>
          <w:p w14:paraId="1D5A62A2" w14:textId="77777777" w:rsidR="00500D69" w:rsidRPr="00500D69" w:rsidRDefault="00500D69" w:rsidP="00EA3981">
            <w:pPr>
              <w:rPr>
                <w:rFonts w:cs="Arial"/>
                <w:sz w:val="22"/>
                <w:szCs w:val="22"/>
              </w:rPr>
            </w:pPr>
            <w:r w:rsidRPr="00500D69">
              <w:rPr>
                <w:rFonts w:cs="Arial"/>
                <w:sz w:val="22"/>
                <w:szCs w:val="22"/>
              </w:rPr>
              <w:t>S/BY Rate</w:t>
            </w:r>
          </w:p>
        </w:tc>
      </w:tr>
      <w:tr w:rsidR="00500D69" w:rsidRPr="00500D69" w14:paraId="57EB3FC3" w14:textId="77777777" w:rsidTr="00500D69">
        <w:tc>
          <w:tcPr>
            <w:tcW w:w="9242" w:type="dxa"/>
            <w:gridSpan w:val="13"/>
            <w:shd w:val="clear" w:color="auto" w:fill="FFFF00"/>
          </w:tcPr>
          <w:p w14:paraId="5CC3A058" w14:textId="77777777" w:rsidR="00500D69" w:rsidRPr="00500D69" w:rsidRDefault="00500D69" w:rsidP="00EA3981">
            <w:pPr>
              <w:jc w:val="center"/>
              <w:rPr>
                <w:rFonts w:cs="Arial"/>
                <w:sz w:val="22"/>
                <w:szCs w:val="22"/>
              </w:rPr>
            </w:pPr>
            <w:r w:rsidRPr="00500D69">
              <w:rPr>
                <w:rFonts w:cs="Arial"/>
                <w:sz w:val="22"/>
                <w:szCs w:val="22"/>
              </w:rPr>
              <w:t xml:space="preserve">Enhanced Cover Watch Manager – 5 Week </w:t>
            </w:r>
            <w:proofErr w:type="spellStart"/>
            <w:r w:rsidRPr="00500D69">
              <w:rPr>
                <w:rFonts w:cs="Arial"/>
                <w:sz w:val="22"/>
                <w:szCs w:val="22"/>
              </w:rPr>
              <w:t>Rota</w:t>
            </w:r>
            <w:proofErr w:type="spellEnd"/>
          </w:p>
        </w:tc>
      </w:tr>
      <w:tr w:rsidR="00500D69" w:rsidRPr="00500D69" w14:paraId="2A0240DB" w14:textId="77777777" w:rsidTr="00500D69">
        <w:tc>
          <w:tcPr>
            <w:tcW w:w="716" w:type="dxa"/>
          </w:tcPr>
          <w:p w14:paraId="76F9F5FA" w14:textId="77777777" w:rsidR="00500D69" w:rsidRPr="00500D69" w:rsidRDefault="00500D69" w:rsidP="00EA3981">
            <w:pPr>
              <w:rPr>
                <w:rFonts w:cs="Arial"/>
                <w:sz w:val="22"/>
                <w:szCs w:val="22"/>
              </w:rPr>
            </w:pPr>
            <w:r w:rsidRPr="00500D69">
              <w:rPr>
                <w:rFonts w:cs="Arial"/>
                <w:sz w:val="22"/>
                <w:szCs w:val="22"/>
              </w:rPr>
              <w:t>WMD</w:t>
            </w:r>
          </w:p>
        </w:tc>
        <w:tc>
          <w:tcPr>
            <w:tcW w:w="794" w:type="dxa"/>
          </w:tcPr>
          <w:p w14:paraId="6E5E655D" w14:textId="4E655138" w:rsidR="00500D69" w:rsidRPr="00500D69" w:rsidRDefault="00500D69" w:rsidP="00EA3981">
            <w:pPr>
              <w:rPr>
                <w:rFonts w:cs="Arial"/>
                <w:sz w:val="22"/>
                <w:szCs w:val="22"/>
              </w:rPr>
            </w:pPr>
            <w:r w:rsidRPr="00500D69">
              <w:rPr>
                <w:rFonts w:cs="Arial"/>
                <w:sz w:val="22"/>
                <w:szCs w:val="22"/>
              </w:rPr>
              <w:t>15:</w:t>
            </w:r>
            <w:r w:rsidR="004E74F9">
              <w:rPr>
                <w:rFonts w:cs="Arial"/>
                <w:sz w:val="22"/>
                <w:szCs w:val="22"/>
              </w:rPr>
              <w:t>33</w:t>
            </w:r>
          </w:p>
        </w:tc>
        <w:tc>
          <w:tcPr>
            <w:tcW w:w="747" w:type="dxa"/>
          </w:tcPr>
          <w:p w14:paraId="36639034" w14:textId="29C6BC97" w:rsidR="00500D69" w:rsidRPr="00500D69" w:rsidRDefault="00500D69" w:rsidP="00EA3981">
            <w:pPr>
              <w:rPr>
                <w:rFonts w:cs="Arial"/>
                <w:sz w:val="22"/>
                <w:szCs w:val="22"/>
              </w:rPr>
            </w:pPr>
            <w:r w:rsidRPr="00500D69">
              <w:rPr>
                <w:rFonts w:cs="Arial"/>
                <w:sz w:val="22"/>
                <w:szCs w:val="22"/>
              </w:rPr>
              <w:t>2</w:t>
            </w:r>
            <w:r w:rsidR="004E74F9">
              <w:rPr>
                <w:rFonts w:cs="Arial"/>
                <w:sz w:val="22"/>
                <w:szCs w:val="22"/>
              </w:rPr>
              <w:t>.30</w:t>
            </w:r>
          </w:p>
        </w:tc>
        <w:tc>
          <w:tcPr>
            <w:tcW w:w="720" w:type="dxa"/>
          </w:tcPr>
          <w:p w14:paraId="249FF8A1" w14:textId="77777777" w:rsidR="00500D69" w:rsidRPr="00500D69" w:rsidRDefault="00500D69" w:rsidP="00EA3981">
            <w:pPr>
              <w:rPr>
                <w:rFonts w:cs="Arial"/>
                <w:sz w:val="22"/>
                <w:szCs w:val="22"/>
              </w:rPr>
            </w:pPr>
          </w:p>
        </w:tc>
        <w:tc>
          <w:tcPr>
            <w:tcW w:w="666" w:type="dxa"/>
          </w:tcPr>
          <w:p w14:paraId="2811F4E2" w14:textId="77777777" w:rsidR="00500D69" w:rsidRPr="00500D69" w:rsidRDefault="00500D69" w:rsidP="00EA3981">
            <w:pPr>
              <w:rPr>
                <w:rFonts w:cs="Arial"/>
                <w:sz w:val="22"/>
                <w:szCs w:val="22"/>
              </w:rPr>
            </w:pPr>
          </w:p>
        </w:tc>
        <w:tc>
          <w:tcPr>
            <w:tcW w:w="978" w:type="dxa"/>
          </w:tcPr>
          <w:p w14:paraId="53EC4503" w14:textId="6A44BCBF" w:rsidR="00500D69" w:rsidRPr="00500D69" w:rsidRDefault="004E74F9" w:rsidP="00EA3981">
            <w:pPr>
              <w:rPr>
                <w:rFonts w:cs="Arial"/>
                <w:sz w:val="22"/>
                <w:szCs w:val="22"/>
              </w:rPr>
            </w:pPr>
            <w:r>
              <w:rPr>
                <w:rFonts w:cs="Arial"/>
                <w:sz w:val="22"/>
                <w:szCs w:val="22"/>
              </w:rPr>
              <w:t>17.63</w:t>
            </w:r>
          </w:p>
        </w:tc>
        <w:tc>
          <w:tcPr>
            <w:tcW w:w="818" w:type="dxa"/>
          </w:tcPr>
          <w:p w14:paraId="2A2065CC" w14:textId="6A09CE11" w:rsidR="00500D69" w:rsidRPr="00500D69" w:rsidRDefault="004E74F9" w:rsidP="00EA3981">
            <w:pPr>
              <w:rPr>
                <w:rFonts w:cs="Arial"/>
                <w:sz w:val="22"/>
                <w:szCs w:val="22"/>
              </w:rPr>
            </w:pPr>
            <w:r>
              <w:rPr>
                <w:rFonts w:cs="Arial"/>
                <w:sz w:val="22"/>
                <w:szCs w:val="22"/>
              </w:rPr>
              <w:t>4.41</w:t>
            </w:r>
          </w:p>
        </w:tc>
        <w:tc>
          <w:tcPr>
            <w:tcW w:w="597" w:type="dxa"/>
            <w:tcBorders>
              <w:right w:val="double" w:sz="4" w:space="0" w:color="FF0000"/>
            </w:tcBorders>
          </w:tcPr>
          <w:p w14:paraId="37EE178E" w14:textId="77777777" w:rsidR="00500D69" w:rsidRPr="00500D69" w:rsidRDefault="00500D69" w:rsidP="00EA3981">
            <w:pPr>
              <w:rPr>
                <w:rFonts w:cs="Arial"/>
                <w:sz w:val="22"/>
                <w:szCs w:val="22"/>
              </w:rPr>
            </w:pPr>
          </w:p>
        </w:tc>
        <w:tc>
          <w:tcPr>
            <w:tcW w:w="717" w:type="dxa"/>
            <w:tcBorders>
              <w:top w:val="double" w:sz="4" w:space="0" w:color="FF0000"/>
              <w:left w:val="double" w:sz="4" w:space="0" w:color="FF0000"/>
              <w:bottom w:val="nil"/>
              <w:right w:val="double" w:sz="4" w:space="0" w:color="FF0000"/>
            </w:tcBorders>
          </w:tcPr>
          <w:p w14:paraId="440A7143" w14:textId="1533447C" w:rsidR="00500D69" w:rsidRPr="00500D69" w:rsidRDefault="004E74F9" w:rsidP="00EA3981">
            <w:pPr>
              <w:rPr>
                <w:rFonts w:cs="Arial"/>
                <w:sz w:val="22"/>
                <w:szCs w:val="22"/>
              </w:rPr>
            </w:pPr>
            <w:r>
              <w:rPr>
                <w:rFonts w:cs="Arial"/>
                <w:sz w:val="22"/>
                <w:szCs w:val="22"/>
              </w:rPr>
              <w:t>68.76</w:t>
            </w:r>
          </w:p>
        </w:tc>
        <w:tc>
          <w:tcPr>
            <w:tcW w:w="474" w:type="dxa"/>
            <w:tcBorders>
              <w:left w:val="double" w:sz="4" w:space="0" w:color="FF0000"/>
            </w:tcBorders>
          </w:tcPr>
          <w:p w14:paraId="5FA7E68A" w14:textId="77777777" w:rsidR="00500D69" w:rsidRPr="00500D69" w:rsidRDefault="00500D69" w:rsidP="00EA3981">
            <w:pPr>
              <w:rPr>
                <w:rFonts w:cs="Arial"/>
                <w:sz w:val="22"/>
                <w:szCs w:val="22"/>
              </w:rPr>
            </w:pPr>
          </w:p>
        </w:tc>
        <w:tc>
          <w:tcPr>
            <w:tcW w:w="717" w:type="dxa"/>
          </w:tcPr>
          <w:p w14:paraId="474415BF" w14:textId="77777777" w:rsidR="00500D69" w:rsidRPr="00500D69" w:rsidRDefault="00500D69" w:rsidP="00EA3981">
            <w:pPr>
              <w:rPr>
                <w:rFonts w:cs="Arial"/>
                <w:sz w:val="22"/>
                <w:szCs w:val="22"/>
              </w:rPr>
            </w:pPr>
          </w:p>
        </w:tc>
        <w:tc>
          <w:tcPr>
            <w:tcW w:w="470" w:type="dxa"/>
            <w:tcBorders>
              <w:right w:val="double" w:sz="4" w:space="0" w:color="FF0000"/>
            </w:tcBorders>
          </w:tcPr>
          <w:p w14:paraId="1A032385" w14:textId="77777777" w:rsidR="00500D69" w:rsidRPr="00500D69" w:rsidRDefault="00500D69" w:rsidP="00EA3981">
            <w:pPr>
              <w:rPr>
                <w:rFonts w:cs="Arial"/>
                <w:sz w:val="22"/>
                <w:szCs w:val="22"/>
              </w:rPr>
            </w:pPr>
          </w:p>
        </w:tc>
        <w:tc>
          <w:tcPr>
            <w:tcW w:w="828" w:type="dxa"/>
            <w:tcBorders>
              <w:top w:val="double" w:sz="4" w:space="0" w:color="FF0000"/>
              <w:left w:val="double" w:sz="4" w:space="0" w:color="FF0000"/>
              <w:bottom w:val="nil"/>
              <w:right w:val="double" w:sz="4" w:space="0" w:color="FF0000"/>
            </w:tcBorders>
          </w:tcPr>
          <w:p w14:paraId="057664B6" w14:textId="3E45D0EB" w:rsidR="00500D69" w:rsidRPr="00500D69" w:rsidRDefault="004E74F9" w:rsidP="00EA3981">
            <w:pPr>
              <w:rPr>
                <w:rFonts w:cs="Arial"/>
                <w:sz w:val="22"/>
                <w:szCs w:val="22"/>
              </w:rPr>
            </w:pPr>
            <w:r>
              <w:rPr>
                <w:rFonts w:cs="Arial"/>
                <w:sz w:val="22"/>
                <w:szCs w:val="22"/>
              </w:rPr>
              <w:t>105</w:t>
            </w:r>
            <w:r w:rsidR="00500D69" w:rsidRPr="00500D69">
              <w:rPr>
                <w:rFonts w:cs="Arial"/>
                <w:sz w:val="22"/>
                <w:szCs w:val="22"/>
              </w:rPr>
              <w:t>.8</w:t>
            </w:r>
            <w:r>
              <w:rPr>
                <w:rFonts w:cs="Arial"/>
                <w:sz w:val="22"/>
                <w:szCs w:val="22"/>
              </w:rPr>
              <w:t>4</w:t>
            </w:r>
          </w:p>
        </w:tc>
      </w:tr>
      <w:tr w:rsidR="00500D69" w:rsidRPr="00500D69" w14:paraId="4BFBF709" w14:textId="77777777" w:rsidTr="00500D69">
        <w:tc>
          <w:tcPr>
            <w:tcW w:w="716" w:type="dxa"/>
          </w:tcPr>
          <w:p w14:paraId="337EE7E1" w14:textId="77777777" w:rsidR="00500D69" w:rsidRPr="00500D69" w:rsidRDefault="00500D69" w:rsidP="00EA3981">
            <w:pPr>
              <w:rPr>
                <w:rFonts w:cs="Arial"/>
                <w:sz w:val="22"/>
                <w:szCs w:val="22"/>
              </w:rPr>
            </w:pPr>
            <w:r w:rsidRPr="00500D69">
              <w:rPr>
                <w:rFonts w:cs="Arial"/>
                <w:sz w:val="22"/>
                <w:szCs w:val="22"/>
              </w:rPr>
              <w:t>WMA</w:t>
            </w:r>
          </w:p>
        </w:tc>
        <w:tc>
          <w:tcPr>
            <w:tcW w:w="794" w:type="dxa"/>
          </w:tcPr>
          <w:p w14:paraId="26925FCF" w14:textId="7DBD84F4" w:rsidR="00500D69" w:rsidRPr="00500D69" w:rsidRDefault="00500D69" w:rsidP="00EA3981">
            <w:pPr>
              <w:rPr>
                <w:rFonts w:cs="Arial"/>
                <w:sz w:val="22"/>
                <w:szCs w:val="22"/>
              </w:rPr>
            </w:pPr>
            <w:r w:rsidRPr="00500D69">
              <w:rPr>
                <w:rFonts w:cs="Arial"/>
                <w:sz w:val="22"/>
                <w:szCs w:val="22"/>
              </w:rPr>
              <w:t>15.</w:t>
            </w:r>
            <w:r w:rsidR="004E74F9">
              <w:rPr>
                <w:rFonts w:cs="Arial"/>
                <w:sz w:val="22"/>
                <w:szCs w:val="22"/>
              </w:rPr>
              <w:t>75</w:t>
            </w:r>
          </w:p>
        </w:tc>
        <w:tc>
          <w:tcPr>
            <w:tcW w:w="747" w:type="dxa"/>
          </w:tcPr>
          <w:p w14:paraId="58723D19" w14:textId="483DC2A6" w:rsidR="00500D69" w:rsidRPr="00500D69" w:rsidRDefault="00500D69" w:rsidP="00EA3981">
            <w:pPr>
              <w:rPr>
                <w:rFonts w:cs="Arial"/>
                <w:sz w:val="22"/>
                <w:szCs w:val="22"/>
              </w:rPr>
            </w:pPr>
            <w:r w:rsidRPr="00500D69">
              <w:rPr>
                <w:rFonts w:cs="Arial"/>
                <w:sz w:val="22"/>
                <w:szCs w:val="22"/>
              </w:rPr>
              <w:t>2.</w:t>
            </w:r>
            <w:r w:rsidR="004E74F9">
              <w:rPr>
                <w:rFonts w:cs="Arial"/>
                <w:sz w:val="22"/>
                <w:szCs w:val="22"/>
              </w:rPr>
              <w:t>36</w:t>
            </w:r>
          </w:p>
        </w:tc>
        <w:tc>
          <w:tcPr>
            <w:tcW w:w="720" w:type="dxa"/>
          </w:tcPr>
          <w:p w14:paraId="319ECB10" w14:textId="77777777" w:rsidR="00500D69" w:rsidRPr="00500D69" w:rsidRDefault="00500D69" w:rsidP="00EA3981">
            <w:pPr>
              <w:rPr>
                <w:rFonts w:cs="Arial"/>
                <w:sz w:val="22"/>
                <w:szCs w:val="22"/>
              </w:rPr>
            </w:pPr>
          </w:p>
        </w:tc>
        <w:tc>
          <w:tcPr>
            <w:tcW w:w="666" w:type="dxa"/>
          </w:tcPr>
          <w:p w14:paraId="33E0FCA1" w14:textId="77777777" w:rsidR="00500D69" w:rsidRPr="00500D69" w:rsidRDefault="00500D69" w:rsidP="00EA3981">
            <w:pPr>
              <w:rPr>
                <w:rFonts w:cs="Arial"/>
                <w:sz w:val="22"/>
                <w:szCs w:val="22"/>
              </w:rPr>
            </w:pPr>
          </w:p>
        </w:tc>
        <w:tc>
          <w:tcPr>
            <w:tcW w:w="978" w:type="dxa"/>
          </w:tcPr>
          <w:p w14:paraId="594881D5" w14:textId="176C9680" w:rsidR="00500D69" w:rsidRPr="00500D69" w:rsidRDefault="004E74F9" w:rsidP="00EA3981">
            <w:pPr>
              <w:rPr>
                <w:rFonts w:cs="Arial"/>
                <w:sz w:val="22"/>
                <w:szCs w:val="22"/>
              </w:rPr>
            </w:pPr>
            <w:r>
              <w:rPr>
                <w:rFonts w:cs="Arial"/>
                <w:sz w:val="22"/>
                <w:szCs w:val="22"/>
              </w:rPr>
              <w:t>18.11</w:t>
            </w:r>
          </w:p>
        </w:tc>
        <w:tc>
          <w:tcPr>
            <w:tcW w:w="818" w:type="dxa"/>
          </w:tcPr>
          <w:p w14:paraId="4DA99DF2" w14:textId="3BD658C9" w:rsidR="00500D69" w:rsidRPr="00500D69" w:rsidRDefault="004E74F9" w:rsidP="00EA3981">
            <w:pPr>
              <w:rPr>
                <w:rFonts w:cs="Arial"/>
                <w:sz w:val="22"/>
                <w:szCs w:val="22"/>
              </w:rPr>
            </w:pPr>
            <w:r>
              <w:rPr>
                <w:rFonts w:cs="Arial"/>
                <w:sz w:val="22"/>
                <w:szCs w:val="22"/>
              </w:rPr>
              <w:t>4.53</w:t>
            </w:r>
          </w:p>
        </w:tc>
        <w:tc>
          <w:tcPr>
            <w:tcW w:w="597" w:type="dxa"/>
            <w:tcBorders>
              <w:right w:val="double" w:sz="4" w:space="0" w:color="FF0000"/>
            </w:tcBorders>
          </w:tcPr>
          <w:p w14:paraId="7F1D3762" w14:textId="77777777" w:rsidR="00500D69" w:rsidRPr="00500D69" w:rsidRDefault="00500D69" w:rsidP="00EA3981">
            <w:pPr>
              <w:rPr>
                <w:rFonts w:cs="Arial"/>
                <w:sz w:val="22"/>
                <w:szCs w:val="22"/>
              </w:rPr>
            </w:pPr>
          </w:p>
        </w:tc>
        <w:tc>
          <w:tcPr>
            <w:tcW w:w="717" w:type="dxa"/>
            <w:tcBorders>
              <w:top w:val="nil"/>
              <w:left w:val="double" w:sz="4" w:space="0" w:color="FF0000"/>
              <w:bottom w:val="nil"/>
              <w:right w:val="double" w:sz="4" w:space="0" w:color="FF0000"/>
            </w:tcBorders>
          </w:tcPr>
          <w:p w14:paraId="1EE2AF14" w14:textId="2918D7E9" w:rsidR="00500D69" w:rsidRPr="00500D69" w:rsidRDefault="004E74F9" w:rsidP="00EA3981">
            <w:pPr>
              <w:rPr>
                <w:rFonts w:cs="Arial"/>
                <w:sz w:val="22"/>
                <w:szCs w:val="22"/>
              </w:rPr>
            </w:pPr>
            <w:r>
              <w:rPr>
                <w:rFonts w:cs="Arial"/>
                <w:sz w:val="22"/>
                <w:szCs w:val="22"/>
              </w:rPr>
              <w:t>70.67</w:t>
            </w:r>
          </w:p>
        </w:tc>
        <w:tc>
          <w:tcPr>
            <w:tcW w:w="474" w:type="dxa"/>
            <w:tcBorders>
              <w:left w:val="double" w:sz="4" w:space="0" w:color="FF0000"/>
            </w:tcBorders>
          </w:tcPr>
          <w:p w14:paraId="79634B22" w14:textId="77777777" w:rsidR="00500D69" w:rsidRPr="00500D69" w:rsidRDefault="00500D69" w:rsidP="00EA3981">
            <w:pPr>
              <w:rPr>
                <w:rFonts w:cs="Arial"/>
                <w:sz w:val="22"/>
                <w:szCs w:val="22"/>
              </w:rPr>
            </w:pPr>
          </w:p>
        </w:tc>
        <w:tc>
          <w:tcPr>
            <w:tcW w:w="717" w:type="dxa"/>
          </w:tcPr>
          <w:p w14:paraId="71465262" w14:textId="77777777" w:rsidR="00500D69" w:rsidRPr="00500D69" w:rsidRDefault="00500D69" w:rsidP="00EA3981">
            <w:pPr>
              <w:rPr>
                <w:rFonts w:cs="Arial"/>
                <w:sz w:val="22"/>
                <w:szCs w:val="22"/>
              </w:rPr>
            </w:pPr>
          </w:p>
        </w:tc>
        <w:tc>
          <w:tcPr>
            <w:tcW w:w="470" w:type="dxa"/>
            <w:tcBorders>
              <w:right w:val="double" w:sz="4" w:space="0" w:color="FF0000"/>
            </w:tcBorders>
          </w:tcPr>
          <w:p w14:paraId="31D35D55" w14:textId="77777777" w:rsidR="00500D69" w:rsidRPr="00500D69" w:rsidRDefault="00500D69" w:rsidP="00EA3981">
            <w:pPr>
              <w:rPr>
                <w:rFonts w:cs="Arial"/>
                <w:sz w:val="22"/>
                <w:szCs w:val="22"/>
              </w:rPr>
            </w:pPr>
          </w:p>
        </w:tc>
        <w:tc>
          <w:tcPr>
            <w:tcW w:w="828" w:type="dxa"/>
            <w:tcBorders>
              <w:top w:val="nil"/>
              <w:left w:val="double" w:sz="4" w:space="0" w:color="FF0000"/>
              <w:bottom w:val="nil"/>
              <w:right w:val="double" w:sz="4" w:space="0" w:color="FF0000"/>
            </w:tcBorders>
          </w:tcPr>
          <w:p w14:paraId="14B056BB" w14:textId="2AE57C61" w:rsidR="00500D69" w:rsidRPr="00500D69" w:rsidRDefault="004E74F9" w:rsidP="00EA3981">
            <w:pPr>
              <w:rPr>
                <w:rFonts w:cs="Arial"/>
                <w:sz w:val="22"/>
                <w:szCs w:val="22"/>
              </w:rPr>
            </w:pPr>
            <w:r>
              <w:rPr>
                <w:rFonts w:cs="Arial"/>
                <w:sz w:val="22"/>
                <w:szCs w:val="22"/>
              </w:rPr>
              <w:t>108.72</w:t>
            </w:r>
          </w:p>
        </w:tc>
      </w:tr>
      <w:tr w:rsidR="00500D69" w:rsidRPr="00500D69" w14:paraId="0074FEFA" w14:textId="77777777" w:rsidTr="00500D69">
        <w:tc>
          <w:tcPr>
            <w:tcW w:w="716" w:type="dxa"/>
          </w:tcPr>
          <w:p w14:paraId="1C40E977" w14:textId="77777777" w:rsidR="00500D69" w:rsidRPr="00500D69" w:rsidRDefault="00500D69" w:rsidP="00EA3981">
            <w:pPr>
              <w:rPr>
                <w:rFonts w:cs="Arial"/>
                <w:sz w:val="22"/>
                <w:szCs w:val="22"/>
              </w:rPr>
            </w:pPr>
            <w:r w:rsidRPr="00500D69">
              <w:rPr>
                <w:rFonts w:cs="Arial"/>
                <w:sz w:val="22"/>
                <w:szCs w:val="22"/>
              </w:rPr>
              <w:t>WMB</w:t>
            </w:r>
          </w:p>
        </w:tc>
        <w:tc>
          <w:tcPr>
            <w:tcW w:w="794" w:type="dxa"/>
          </w:tcPr>
          <w:p w14:paraId="014941DE" w14:textId="6C66442B" w:rsidR="00500D69" w:rsidRPr="00500D69" w:rsidRDefault="00500D69" w:rsidP="00EA3981">
            <w:pPr>
              <w:rPr>
                <w:rFonts w:cs="Arial"/>
                <w:sz w:val="22"/>
                <w:szCs w:val="22"/>
              </w:rPr>
            </w:pPr>
            <w:r w:rsidRPr="00500D69">
              <w:rPr>
                <w:rFonts w:cs="Arial"/>
                <w:sz w:val="22"/>
                <w:szCs w:val="22"/>
              </w:rPr>
              <w:t>16.</w:t>
            </w:r>
            <w:r w:rsidR="004E74F9">
              <w:rPr>
                <w:rFonts w:cs="Arial"/>
                <w:sz w:val="22"/>
                <w:szCs w:val="22"/>
              </w:rPr>
              <w:t>78</w:t>
            </w:r>
          </w:p>
        </w:tc>
        <w:tc>
          <w:tcPr>
            <w:tcW w:w="747" w:type="dxa"/>
          </w:tcPr>
          <w:p w14:paraId="727087A2" w14:textId="04613353" w:rsidR="00500D69" w:rsidRPr="00500D69" w:rsidRDefault="00500D69" w:rsidP="00EA3981">
            <w:pPr>
              <w:rPr>
                <w:rFonts w:cs="Arial"/>
                <w:sz w:val="22"/>
                <w:szCs w:val="22"/>
              </w:rPr>
            </w:pPr>
            <w:r w:rsidRPr="00500D69">
              <w:rPr>
                <w:rFonts w:cs="Arial"/>
                <w:sz w:val="22"/>
                <w:szCs w:val="22"/>
              </w:rPr>
              <w:t>2.</w:t>
            </w:r>
            <w:r w:rsidR="004E74F9">
              <w:rPr>
                <w:rFonts w:cs="Arial"/>
                <w:sz w:val="22"/>
                <w:szCs w:val="22"/>
              </w:rPr>
              <w:t>52</w:t>
            </w:r>
          </w:p>
        </w:tc>
        <w:tc>
          <w:tcPr>
            <w:tcW w:w="720" w:type="dxa"/>
          </w:tcPr>
          <w:p w14:paraId="62105593" w14:textId="77777777" w:rsidR="00500D69" w:rsidRPr="00500D69" w:rsidRDefault="00500D69" w:rsidP="00EA3981">
            <w:pPr>
              <w:rPr>
                <w:rFonts w:cs="Arial"/>
                <w:sz w:val="22"/>
                <w:szCs w:val="22"/>
              </w:rPr>
            </w:pPr>
          </w:p>
        </w:tc>
        <w:tc>
          <w:tcPr>
            <w:tcW w:w="666" w:type="dxa"/>
          </w:tcPr>
          <w:p w14:paraId="27AFDA38" w14:textId="77777777" w:rsidR="00500D69" w:rsidRPr="00500D69" w:rsidRDefault="00500D69" w:rsidP="00EA3981">
            <w:pPr>
              <w:rPr>
                <w:rFonts w:cs="Arial"/>
                <w:sz w:val="22"/>
                <w:szCs w:val="22"/>
              </w:rPr>
            </w:pPr>
          </w:p>
        </w:tc>
        <w:tc>
          <w:tcPr>
            <w:tcW w:w="978" w:type="dxa"/>
          </w:tcPr>
          <w:p w14:paraId="20536CD0" w14:textId="40E1506F" w:rsidR="00500D69" w:rsidRPr="00500D69" w:rsidRDefault="004E74F9" w:rsidP="00EA3981">
            <w:pPr>
              <w:rPr>
                <w:rFonts w:cs="Arial"/>
                <w:sz w:val="22"/>
                <w:szCs w:val="22"/>
              </w:rPr>
            </w:pPr>
            <w:r>
              <w:rPr>
                <w:rFonts w:cs="Arial"/>
                <w:sz w:val="22"/>
                <w:szCs w:val="22"/>
              </w:rPr>
              <w:t>19.30</w:t>
            </w:r>
          </w:p>
        </w:tc>
        <w:tc>
          <w:tcPr>
            <w:tcW w:w="818" w:type="dxa"/>
          </w:tcPr>
          <w:p w14:paraId="3B823291" w14:textId="1ED778D6" w:rsidR="00500D69" w:rsidRPr="00500D69" w:rsidRDefault="004E74F9" w:rsidP="00EA3981">
            <w:pPr>
              <w:rPr>
                <w:rFonts w:cs="Arial"/>
                <w:sz w:val="22"/>
                <w:szCs w:val="22"/>
              </w:rPr>
            </w:pPr>
            <w:r>
              <w:rPr>
                <w:rFonts w:cs="Arial"/>
                <w:sz w:val="22"/>
                <w:szCs w:val="22"/>
              </w:rPr>
              <w:t>4.83</w:t>
            </w:r>
          </w:p>
        </w:tc>
        <w:tc>
          <w:tcPr>
            <w:tcW w:w="597" w:type="dxa"/>
            <w:tcBorders>
              <w:right w:val="double" w:sz="4" w:space="0" w:color="FF0000"/>
            </w:tcBorders>
          </w:tcPr>
          <w:p w14:paraId="0CDAB7B3" w14:textId="77777777" w:rsidR="00500D69" w:rsidRPr="00500D69" w:rsidRDefault="00500D69" w:rsidP="00EA3981">
            <w:pPr>
              <w:rPr>
                <w:rFonts w:cs="Arial"/>
                <w:sz w:val="22"/>
                <w:szCs w:val="22"/>
              </w:rPr>
            </w:pPr>
          </w:p>
        </w:tc>
        <w:tc>
          <w:tcPr>
            <w:tcW w:w="717" w:type="dxa"/>
            <w:tcBorders>
              <w:top w:val="nil"/>
              <w:left w:val="double" w:sz="4" w:space="0" w:color="FF0000"/>
              <w:bottom w:val="double" w:sz="4" w:space="0" w:color="FF0000"/>
              <w:right w:val="double" w:sz="4" w:space="0" w:color="FF0000"/>
            </w:tcBorders>
          </w:tcPr>
          <w:p w14:paraId="3DC60B65" w14:textId="4B435A4C" w:rsidR="00500D69" w:rsidRPr="00500D69" w:rsidRDefault="004E74F9" w:rsidP="00EA3981">
            <w:pPr>
              <w:rPr>
                <w:rFonts w:cs="Arial"/>
                <w:sz w:val="22"/>
                <w:szCs w:val="22"/>
              </w:rPr>
            </w:pPr>
            <w:r>
              <w:rPr>
                <w:rFonts w:cs="Arial"/>
                <w:sz w:val="22"/>
                <w:szCs w:val="22"/>
              </w:rPr>
              <w:t>75.35</w:t>
            </w:r>
          </w:p>
        </w:tc>
        <w:tc>
          <w:tcPr>
            <w:tcW w:w="474" w:type="dxa"/>
            <w:tcBorders>
              <w:left w:val="double" w:sz="4" w:space="0" w:color="FF0000"/>
            </w:tcBorders>
          </w:tcPr>
          <w:p w14:paraId="71AFF276" w14:textId="77777777" w:rsidR="00500D69" w:rsidRPr="00500D69" w:rsidRDefault="00500D69" w:rsidP="00EA3981">
            <w:pPr>
              <w:rPr>
                <w:rFonts w:cs="Arial"/>
                <w:sz w:val="22"/>
                <w:szCs w:val="22"/>
              </w:rPr>
            </w:pPr>
          </w:p>
        </w:tc>
        <w:tc>
          <w:tcPr>
            <w:tcW w:w="717" w:type="dxa"/>
          </w:tcPr>
          <w:p w14:paraId="05F591BB" w14:textId="77777777" w:rsidR="00500D69" w:rsidRPr="00500D69" w:rsidRDefault="00500D69" w:rsidP="00EA3981">
            <w:pPr>
              <w:rPr>
                <w:rFonts w:cs="Arial"/>
                <w:sz w:val="22"/>
                <w:szCs w:val="22"/>
              </w:rPr>
            </w:pPr>
          </w:p>
        </w:tc>
        <w:tc>
          <w:tcPr>
            <w:tcW w:w="470" w:type="dxa"/>
            <w:tcBorders>
              <w:right w:val="double" w:sz="4" w:space="0" w:color="FF0000"/>
            </w:tcBorders>
          </w:tcPr>
          <w:p w14:paraId="38E465F6" w14:textId="77777777" w:rsidR="00500D69" w:rsidRPr="00500D69" w:rsidRDefault="00500D69" w:rsidP="00EA3981">
            <w:pPr>
              <w:rPr>
                <w:rFonts w:cs="Arial"/>
                <w:sz w:val="22"/>
                <w:szCs w:val="22"/>
              </w:rPr>
            </w:pPr>
          </w:p>
        </w:tc>
        <w:tc>
          <w:tcPr>
            <w:tcW w:w="828" w:type="dxa"/>
            <w:tcBorders>
              <w:top w:val="nil"/>
              <w:left w:val="double" w:sz="4" w:space="0" w:color="FF0000"/>
              <w:bottom w:val="double" w:sz="4" w:space="0" w:color="FF0000"/>
              <w:right w:val="double" w:sz="4" w:space="0" w:color="FF0000"/>
            </w:tcBorders>
          </w:tcPr>
          <w:p w14:paraId="2D285C98" w14:textId="71EBE40E" w:rsidR="00500D69" w:rsidRPr="00500D69" w:rsidRDefault="004E74F9" w:rsidP="00EA3981">
            <w:pPr>
              <w:rPr>
                <w:rFonts w:cs="Arial"/>
                <w:sz w:val="22"/>
                <w:szCs w:val="22"/>
              </w:rPr>
            </w:pPr>
            <w:r>
              <w:rPr>
                <w:rFonts w:cs="Arial"/>
                <w:sz w:val="22"/>
                <w:szCs w:val="22"/>
              </w:rPr>
              <w:t>115.92</w:t>
            </w:r>
          </w:p>
        </w:tc>
      </w:tr>
      <w:tr w:rsidR="00500D69" w:rsidRPr="00500D69" w14:paraId="29DB1D36" w14:textId="77777777" w:rsidTr="00500D69">
        <w:tc>
          <w:tcPr>
            <w:tcW w:w="9242" w:type="dxa"/>
            <w:gridSpan w:val="13"/>
            <w:shd w:val="clear" w:color="auto" w:fill="FFFF00"/>
          </w:tcPr>
          <w:p w14:paraId="23666270" w14:textId="77777777" w:rsidR="00500D69" w:rsidRPr="00500D69" w:rsidRDefault="00500D69" w:rsidP="00EA3981">
            <w:pPr>
              <w:jc w:val="center"/>
              <w:rPr>
                <w:rFonts w:cs="Arial"/>
                <w:sz w:val="22"/>
                <w:szCs w:val="22"/>
              </w:rPr>
            </w:pPr>
            <w:r w:rsidRPr="00500D69">
              <w:rPr>
                <w:rFonts w:cs="Arial"/>
                <w:sz w:val="22"/>
                <w:szCs w:val="22"/>
              </w:rPr>
              <w:t xml:space="preserve">FDS – 4 Week </w:t>
            </w:r>
            <w:proofErr w:type="spellStart"/>
            <w:r w:rsidRPr="00500D69">
              <w:rPr>
                <w:rFonts w:cs="Arial"/>
                <w:sz w:val="22"/>
                <w:szCs w:val="22"/>
              </w:rPr>
              <w:t>Rota</w:t>
            </w:r>
            <w:proofErr w:type="spellEnd"/>
          </w:p>
        </w:tc>
      </w:tr>
      <w:tr w:rsidR="00500D69" w:rsidRPr="00500D69" w14:paraId="087108CD" w14:textId="77777777" w:rsidTr="00500D69">
        <w:tc>
          <w:tcPr>
            <w:tcW w:w="716" w:type="dxa"/>
          </w:tcPr>
          <w:p w14:paraId="55FC5A46" w14:textId="77777777" w:rsidR="00500D69" w:rsidRPr="00500D69" w:rsidRDefault="00500D69" w:rsidP="00EA3981">
            <w:pPr>
              <w:rPr>
                <w:rFonts w:cs="Arial"/>
                <w:sz w:val="22"/>
                <w:szCs w:val="22"/>
              </w:rPr>
            </w:pPr>
            <w:r w:rsidRPr="00500D69">
              <w:rPr>
                <w:rFonts w:cs="Arial"/>
                <w:sz w:val="22"/>
                <w:szCs w:val="22"/>
              </w:rPr>
              <w:t>SMD</w:t>
            </w:r>
          </w:p>
        </w:tc>
        <w:tc>
          <w:tcPr>
            <w:tcW w:w="794" w:type="dxa"/>
          </w:tcPr>
          <w:p w14:paraId="4D2013B9" w14:textId="799BEDCB" w:rsidR="00500D69" w:rsidRPr="00500D69" w:rsidRDefault="004E74F9" w:rsidP="00EA3981">
            <w:pPr>
              <w:rPr>
                <w:rFonts w:cs="Arial"/>
                <w:sz w:val="22"/>
                <w:szCs w:val="22"/>
              </w:rPr>
            </w:pPr>
            <w:r>
              <w:rPr>
                <w:rFonts w:cs="Arial"/>
                <w:sz w:val="22"/>
                <w:szCs w:val="22"/>
              </w:rPr>
              <w:t>17.45</w:t>
            </w:r>
          </w:p>
        </w:tc>
        <w:tc>
          <w:tcPr>
            <w:tcW w:w="747" w:type="dxa"/>
          </w:tcPr>
          <w:p w14:paraId="62A16BBC" w14:textId="53EF731D" w:rsidR="00500D69" w:rsidRPr="00500D69" w:rsidRDefault="004E74F9" w:rsidP="00EA3981">
            <w:pPr>
              <w:rPr>
                <w:rFonts w:cs="Arial"/>
                <w:sz w:val="22"/>
                <w:szCs w:val="22"/>
              </w:rPr>
            </w:pPr>
            <w:r>
              <w:rPr>
                <w:rFonts w:cs="Arial"/>
                <w:sz w:val="22"/>
                <w:szCs w:val="22"/>
              </w:rPr>
              <w:t>3.49</w:t>
            </w:r>
          </w:p>
        </w:tc>
        <w:tc>
          <w:tcPr>
            <w:tcW w:w="720" w:type="dxa"/>
          </w:tcPr>
          <w:p w14:paraId="65AEE8BB" w14:textId="427F028C" w:rsidR="00500D69" w:rsidRPr="00500D69" w:rsidRDefault="004E74F9" w:rsidP="00EA3981">
            <w:pPr>
              <w:rPr>
                <w:rFonts w:cs="Arial"/>
                <w:sz w:val="22"/>
                <w:szCs w:val="22"/>
              </w:rPr>
            </w:pPr>
            <w:r>
              <w:rPr>
                <w:rFonts w:cs="Arial"/>
                <w:sz w:val="22"/>
                <w:szCs w:val="22"/>
              </w:rPr>
              <w:t>20.94</w:t>
            </w:r>
          </w:p>
        </w:tc>
        <w:tc>
          <w:tcPr>
            <w:tcW w:w="666" w:type="dxa"/>
          </w:tcPr>
          <w:p w14:paraId="02233B2F" w14:textId="1D919332" w:rsidR="00500D69" w:rsidRPr="00500D69" w:rsidRDefault="004E74F9" w:rsidP="00EA3981">
            <w:pPr>
              <w:rPr>
                <w:rFonts w:cs="Arial"/>
                <w:sz w:val="22"/>
                <w:szCs w:val="22"/>
              </w:rPr>
            </w:pPr>
            <w:r>
              <w:rPr>
                <w:rFonts w:cs="Arial"/>
                <w:sz w:val="22"/>
                <w:szCs w:val="22"/>
              </w:rPr>
              <w:t>5.24</w:t>
            </w:r>
          </w:p>
        </w:tc>
        <w:tc>
          <w:tcPr>
            <w:tcW w:w="978" w:type="dxa"/>
          </w:tcPr>
          <w:p w14:paraId="1CA2271C" w14:textId="77777777" w:rsidR="00500D69" w:rsidRPr="00500D69" w:rsidRDefault="00500D69" w:rsidP="00EA3981">
            <w:pPr>
              <w:rPr>
                <w:rFonts w:cs="Arial"/>
                <w:sz w:val="22"/>
                <w:szCs w:val="22"/>
              </w:rPr>
            </w:pPr>
          </w:p>
        </w:tc>
        <w:tc>
          <w:tcPr>
            <w:tcW w:w="818" w:type="dxa"/>
          </w:tcPr>
          <w:p w14:paraId="13C31706" w14:textId="77777777" w:rsidR="00500D69" w:rsidRPr="00500D69" w:rsidRDefault="00500D69" w:rsidP="00EA3981">
            <w:pPr>
              <w:rPr>
                <w:rFonts w:cs="Arial"/>
                <w:sz w:val="22"/>
                <w:szCs w:val="22"/>
              </w:rPr>
            </w:pPr>
          </w:p>
        </w:tc>
        <w:tc>
          <w:tcPr>
            <w:tcW w:w="597" w:type="dxa"/>
          </w:tcPr>
          <w:p w14:paraId="3E56EDFD" w14:textId="77777777" w:rsidR="00500D69" w:rsidRPr="00500D69" w:rsidRDefault="00500D69" w:rsidP="00EA3981">
            <w:pPr>
              <w:rPr>
                <w:rFonts w:cs="Arial"/>
                <w:sz w:val="22"/>
                <w:szCs w:val="22"/>
              </w:rPr>
            </w:pPr>
          </w:p>
        </w:tc>
        <w:tc>
          <w:tcPr>
            <w:tcW w:w="717" w:type="dxa"/>
          </w:tcPr>
          <w:p w14:paraId="27F4CE37" w14:textId="77777777" w:rsidR="00500D69" w:rsidRPr="00500D69" w:rsidRDefault="00500D69" w:rsidP="00EA3981">
            <w:pPr>
              <w:rPr>
                <w:rFonts w:cs="Arial"/>
                <w:sz w:val="22"/>
                <w:szCs w:val="22"/>
              </w:rPr>
            </w:pPr>
          </w:p>
        </w:tc>
        <w:tc>
          <w:tcPr>
            <w:tcW w:w="474" w:type="dxa"/>
            <w:tcBorders>
              <w:right w:val="double" w:sz="4" w:space="0" w:color="FF0000"/>
            </w:tcBorders>
          </w:tcPr>
          <w:p w14:paraId="7597DC82" w14:textId="77777777" w:rsidR="00500D69" w:rsidRPr="00500D69" w:rsidRDefault="00500D69" w:rsidP="00EA3981">
            <w:pPr>
              <w:rPr>
                <w:rFonts w:cs="Arial"/>
                <w:sz w:val="22"/>
                <w:szCs w:val="22"/>
              </w:rPr>
            </w:pPr>
          </w:p>
        </w:tc>
        <w:tc>
          <w:tcPr>
            <w:tcW w:w="717" w:type="dxa"/>
            <w:tcBorders>
              <w:top w:val="double" w:sz="4" w:space="0" w:color="FF0000"/>
              <w:left w:val="double" w:sz="4" w:space="0" w:color="FF0000"/>
              <w:bottom w:val="nil"/>
              <w:right w:val="double" w:sz="4" w:space="0" w:color="FF0000"/>
            </w:tcBorders>
          </w:tcPr>
          <w:p w14:paraId="5DF360D5" w14:textId="717F7FFE" w:rsidR="00500D69" w:rsidRPr="00500D69" w:rsidRDefault="004E74F9" w:rsidP="00EA3981">
            <w:pPr>
              <w:rPr>
                <w:rFonts w:cs="Arial"/>
                <w:sz w:val="22"/>
                <w:szCs w:val="22"/>
              </w:rPr>
            </w:pPr>
            <w:r>
              <w:rPr>
                <w:rFonts w:cs="Arial"/>
                <w:sz w:val="22"/>
                <w:szCs w:val="22"/>
              </w:rPr>
              <w:t>75.09</w:t>
            </w:r>
          </w:p>
        </w:tc>
        <w:tc>
          <w:tcPr>
            <w:tcW w:w="470" w:type="dxa"/>
            <w:tcBorders>
              <w:left w:val="double" w:sz="4" w:space="0" w:color="FF0000"/>
              <w:right w:val="double" w:sz="4" w:space="0" w:color="FF0000"/>
            </w:tcBorders>
          </w:tcPr>
          <w:p w14:paraId="5CD6C416" w14:textId="77777777" w:rsidR="00500D69" w:rsidRPr="00500D69" w:rsidRDefault="00500D69" w:rsidP="00EA3981">
            <w:pPr>
              <w:rPr>
                <w:rFonts w:cs="Arial"/>
                <w:sz w:val="22"/>
                <w:szCs w:val="22"/>
              </w:rPr>
            </w:pPr>
          </w:p>
        </w:tc>
        <w:tc>
          <w:tcPr>
            <w:tcW w:w="828" w:type="dxa"/>
            <w:tcBorders>
              <w:top w:val="double" w:sz="4" w:space="0" w:color="FF0000"/>
              <w:left w:val="double" w:sz="4" w:space="0" w:color="FF0000"/>
              <w:bottom w:val="nil"/>
              <w:right w:val="double" w:sz="4" w:space="0" w:color="FF0000"/>
            </w:tcBorders>
          </w:tcPr>
          <w:p w14:paraId="362D71BC" w14:textId="435E3713" w:rsidR="00500D69" w:rsidRPr="00500D69" w:rsidRDefault="004E74F9" w:rsidP="00EA3981">
            <w:pPr>
              <w:rPr>
                <w:rFonts w:cs="Arial"/>
                <w:sz w:val="22"/>
                <w:szCs w:val="22"/>
              </w:rPr>
            </w:pPr>
            <w:r>
              <w:rPr>
                <w:rFonts w:cs="Arial"/>
                <w:sz w:val="22"/>
                <w:szCs w:val="22"/>
              </w:rPr>
              <w:t>125.76</w:t>
            </w:r>
          </w:p>
        </w:tc>
      </w:tr>
      <w:tr w:rsidR="00500D69" w:rsidRPr="00500D69" w14:paraId="43CFC9C9" w14:textId="77777777" w:rsidTr="00500D69">
        <w:tc>
          <w:tcPr>
            <w:tcW w:w="716" w:type="dxa"/>
          </w:tcPr>
          <w:p w14:paraId="736B493B" w14:textId="77777777" w:rsidR="00500D69" w:rsidRPr="00500D69" w:rsidRDefault="00500D69" w:rsidP="00EA3981">
            <w:pPr>
              <w:rPr>
                <w:rFonts w:cs="Arial"/>
                <w:sz w:val="22"/>
                <w:szCs w:val="22"/>
              </w:rPr>
            </w:pPr>
            <w:r w:rsidRPr="00500D69">
              <w:rPr>
                <w:rFonts w:cs="Arial"/>
                <w:sz w:val="22"/>
                <w:szCs w:val="22"/>
              </w:rPr>
              <w:t>SMA</w:t>
            </w:r>
          </w:p>
        </w:tc>
        <w:tc>
          <w:tcPr>
            <w:tcW w:w="794" w:type="dxa"/>
          </w:tcPr>
          <w:p w14:paraId="75E55571" w14:textId="6DFE8758" w:rsidR="00500D69" w:rsidRPr="00500D69" w:rsidRDefault="004E74F9" w:rsidP="00EA3981">
            <w:pPr>
              <w:rPr>
                <w:rFonts w:cs="Arial"/>
                <w:sz w:val="22"/>
                <w:szCs w:val="22"/>
              </w:rPr>
            </w:pPr>
            <w:r>
              <w:rPr>
                <w:rFonts w:cs="Arial"/>
                <w:sz w:val="22"/>
                <w:szCs w:val="22"/>
              </w:rPr>
              <w:t>17.98</w:t>
            </w:r>
          </w:p>
        </w:tc>
        <w:tc>
          <w:tcPr>
            <w:tcW w:w="747" w:type="dxa"/>
          </w:tcPr>
          <w:p w14:paraId="7A0BB760" w14:textId="241FFC99" w:rsidR="00500D69" w:rsidRPr="00500D69" w:rsidRDefault="004E74F9" w:rsidP="00EA3981">
            <w:pPr>
              <w:rPr>
                <w:rFonts w:cs="Arial"/>
                <w:sz w:val="22"/>
                <w:szCs w:val="22"/>
              </w:rPr>
            </w:pPr>
            <w:r>
              <w:rPr>
                <w:rFonts w:cs="Arial"/>
                <w:sz w:val="22"/>
                <w:szCs w:val="22"/>
              </w:rPr>
              <w:t>3.60</w:t>
            </w:r>
          </w:p>
        </w:tc>
        <w:tc>
          <w:tcPr>
            <w:tcW w:w="720" w:type="dxa"/>
          </w:tcPr>
          <w:p w14:paraId="2E86CA4C" w14:textId="74C8B2F0" w:rsidR="00500D69" w:rsidRPr="00500D69" w:rsidRDefault="004E74F9" w:rsidP="00EA3981">
            <w:pPr>
              <w:rPr>
                <w:rFonts w:cs="Arial"/>
                <w:sz w:val="22"/>
                <w:szCs w:val="22"/>
              </w:rPr>
            </w:pPr>
            <w:r>
              <w:rPr>
                <w:rFonts w:cs="Arial"/>
                <w:sz w:val="22"/>
                <w:szCs w:val="22"/>
              </w:rPr>
              <w:t>21.58</w:t>
            </w:r>
          </w:p>
        </w:tc>
        <w:tc>
          <w:tcPr>
            <w:tcW w:w="666" w:type="dxa"/>
          </w:tcPr>
          <w:p w14:paraId="040B9929" w14:textId="52858FDB" w:rsidR="00500D69" w:rsidRPr="00500D69" w:rsidRDefault="004E74F9" w:rsidP="00EA3981">
            <w:pPr>
              <w:rPr>
                <w:rFonts w:cs="Arial"/>
                <w:sz w:val="22"/>
                <w:szCs w:val="22"/>
              </w:rPr>
            </w:pPr>
            <w:r>
              <w:rPr>
                <w:rFonts w:cs="Arial"/>
                <w:sz w:val="22"/>
                <w:szCs w:val="22"/>
              </w:rPr>
              <w:t>5.40</w:t>
            </w:r>
          </w:p>
        </w:tc>
        <w:tc>
          <w:tcPr>
            <w:tcW w:w="978" w:type="dxa"/>
          </w:tcPr>
          <w:p w14:paraId="4BFF5B50" w14:textId="77777777" w:rsidR="00500D69" w:rsidRPr="00500D69" w:rsidRDefault="00500D69" w:rsidP="00EA3981">
            <w:pPr>
              <w:rPr>
                <w:rFonts w:cs="Arial"/>
                <w:sz w:val="22"/>
                <w:szCs w:val="22"/>
              </w:rPr>
            </w:pPr>
          </w:p>
        </w:tc>
        <w:tc>
          <w:tcPr>
            <w:tcW w:w="818" w:type="dxa"/>
          </w:tcPr>
          <w:p w14:paraId="1E5EE65A" w14:textId="77777777" w:rsidR="00500D69" w:rsidRPr="00500D69" w:rsidRDefault="00500D69" w:rsidP="00EA3981">
            <w:pPr>
              <w:rPr>
                <w:rFonts w:cs="Arial"/>
                <w:sz w:val="22"/>
                <w:szCs w:val="22"/>
              </w:rPr>
            </w:pPr>
          </w:p>
        </w:tc>
        <w:tc>
          <w:tcPr>
            <w:tcW w:w="597" w:type="dxa"/>
          </w:tcPr>
          <w:p w14:paraId="39B7DFD1" w14:textId="77777777" w:rsidR="00500D69" w:rsidRPr="00500D69" w:rsidRDefault="00500D69" w:rsidP="00EA3981">
            <w:pPr>
              <w:rPr>
                <w:rFonts w:cs="Arial"/>
                <w:sz w:val="22"/>
                <w:szCs w:val="22"/>
              </w:rPr>
            </w:pPr>
          </w:p>
        </w:tc>
        <w:tc>
          <w:tcPr>
            <w:tcW w:w="717" w:type="dxa"/>
          </w:tcPr>
          <w:p w14:paraId="5E121596" w14:textId="77777777" w:rsidR="00500D69" w:rsidRPr="00500D69" w:rsidRDefault="00500D69" w:rsidP="00EA3981">
            <w:pPr>
              <w:rPr>
                <w:rFonts w:cs="Arial"/>
                <w:sz w:val="22"/>
                <w:szCs w:val="22"/>
              </w:rPr>
            </w:pPr>
          </w:p>
        </w:tc>
        <w:tc>
          <w:tcPr>
            <w:tcW w:w="474" w:type="dxa"/>
            <w:tcBorders>
              <w:right w:val="double" w:sz="4" w:space="0" w:color="FF0000"/>
            </w:tcBorders>
          </w:tcPr>
          <w:p w14:paraId="76D31253" w14:textId="77777777" w:rsidR="00500D69" w:rsidRPr="00500D69" w:rsidRDefault="00500D69" w:rsidP="00EA3981">
            <w:pPr>
              <w:rPr>
                <w:rFonts w:cs="Arial"/>
                <w:sz w:val="22"/>
                <w:szCs w:val="22"/>
              </w:rPr>
            </w:pPr>
          </w:p>
        </w:tc>
        <w:tc>
          <w:tcPr>
            <w:tcW w:w="717" w:type="dxa"/>
            <w:tcBorders>
              <w:top w:val="nil"/>
              <w:left w:val="double" w:sz="4" w:space="0" w:color="FF0000"/>
              <w:bottom w:val="nil"/>
              <w:right w:val="double" w:sz="4" w:space="0" w:color="FF0000"/>
            </w:tcBorders>
          </w:tcPr>
          <w:p w14:paraId="1A72FD81" w14:textId="5C862C3F" w:rsidR="00500D69" w:rsidRPr="00500D69" w:rsidRDefault="00E74F42" w:rsidP="00EA3981">
            <w:pPr>
              <w:rPr>
                <w:rFonts w:cs="Arial"/>
                <w:sz w:val="22"/>
                <w:szCs w:val="22"/>
              </w:rPr>
            </w:pPr>
            <w:r>
              <w:rPr>
                <w:rFonts w:cs="Arial"/>
                <w:sz w:val="22"/>
                <w:szCs w:val="22"/>
              </w:rPr>
              <w:t>77.38</w:t>
            </w:r>
          </w:p>
        </w:tc>
        <w:tc>
          <w:tcPr>
            <w:tcW w:w="470" w:type="dxa"/>
            <w:tcBorders>
              <w:left w:val="double" w:sz="4" w:space="0" w:color="FF0000"/>
              <w:right w:val="double" w:sz="4" w:space="0" w:color="FF0000"/>
            </w:tcBorders>
          </w:tcPr>
          <w:p w14:paraId="48740160" w14:textId="77777777" w:rsidR="00500D69" w:rsidRPr="00500D69" w:rsidRDefault="00500D69" w:rsidP="00EA3981">
            <w:pPr>
              <w:rPr>
                <w:rFonts w:cs="Arial"/>
                <w:sz w:val="22"/>
                <w:szCs w:val="22"/>
              </w:rPr>
            </w:pPr>
          </w:p>
        </w:tc>
        <w:tc>
          <w:tcPr>
            <w:tcW w:w="828" w:type="dxa"/>
            <w:tcBorders>
              <w:top w:val="nil"/>
              <w:left w:val="double" w:sz="4" w:space="0" w:color="FF0000"/>
              <w:bottom w:val="nil"/>
              <w:right w:val="double" w:sz="4" w:space="0" w:color="FF0000"/>
            </w:tcBorders>
          </w:tcPr>
          <w:p w14:paraId="25658C9B" w14:textId="225C562A" w:rsidR="00500D69" w:rsidRPr="00500D69" w:rsidRDefault="00E74F42" w:rsidP="00EA3981">
            <w:pPr>
              <w:rPr>
                <w:rFonts w:cs="Arial"/>
                <w:sz w:val="22"/>
                <w:szCs w:val="22"/>
              </w:rPr>
            </w:pPr>
            <w:r>
              <w:rPr>
                <w:rFonts w:cs="Arial"/>
                <w:sz w:val="22"/>
                <w:szCs w:val="22"/>
              </w:rPr>
              <w:t>129.60</w:t>
            </w:r>
          </w:p>
        </w:tc>
      </w:tr>
      <w:tr w:rsidR="00500D69" w:rsidRPr="00500D69" w14:paraId="2FB79F31" w14:textId="77777777" w:rsidTr="00500D69">
        <w:tc>
          <w:tcPr>
            <w:tcW w:w="716" w:type="dxa"/>
            <w:tcBorders>
              <w:bottom w:val="single" w:sz="4" w:space="0" w:color="auto"/>
            </w:tcBorders>
          </w:tcPr>
          <w:p w14:paraId="157CF5B2" w14:textId="77777777" w:rsidR="00500D69" w:rsidRPr="00500D69" w:rsidRDefault="00500D69" w:rsidP="00EA3981">
            <w:pPr>
              <w:rPr>
                <w:rFonts w:cs="Arial"/>
                <w:sz w:val="22"/>
                <w:szCs w:val="22"/>
              </w:rPr>
            </w:pPr>
            <w:r w:rsidRPr="00500D69">
              <w:rPr>
                <w:rFonts w:cs="Arial"/>
                <w:sz w:val="22"/>
                <w:szCs w:val="22"/>
              </w:rPr>
              <w:t>SMB</w:t>
            </w:r>
          </w:p>
        </w:tc>
        <w:tc>
          <w:tcPr>
            <w:tcW w:w="794" w:type="dxa"/>
            <w:tcBorders>
              <w:bottom w:val="single" w:sz="4" w:space="0" w:color="auto"/>
            </w:tcBorders>
          </w:tcPr>
          <w:p w14:paraId="75EA60B0" w14:textId="589B2BE2" w:rsidR="00500D69" w:rsidRPr="00500D69" w:rsidRDefault="004E74F9" w:rsidP="00EA3981">
            <w:pPr>
              <w:rPr>
                <w:rFonts w:cs="Arial"/>
                <w:sz w:val="22"/>
                <w:szCs w:val="22"/>
              </w:rPr>
            </w:pPr>
            <w:r>
              <w:rPr>
                <w:rFonts w:cs="Arial"/>
                <w:sz w:val="22"/>
                <w:szCs w:val="22"/>
              </w:rPr>
              <w:t>19.25</w:t>
            </w:r>
          </w:p>
        </w:tc>
        <w:tc>
          <w:tcPr>
            <w:tcW w:w="747" w:type="dxa"/>
            <w:tcBorders>
              <w:bottom w:val="single" w:sz="4" w:space="0" w:color="auto"/>
            </w:tcBorders>
          </w:tcPr>
          <w:p w14:paraId="3B8C3487" w14:textId="7A2A43FC" w:rsidR="00500D69" w:rsidRPr="00500D69" w:rsidRDefault="004E74F9" w:rsidP="00EA3981">
            <w:pPr>
              <w:rPr>
                <w:rFonts w:cs="Arial"/>
                <w:sz w:val="22"/>
                <w:szCs w:val="22"/>
              </w:rPr>
            </w:pPr>
            <w:r>
              <w:rPr>
                <w:rFonts w:cs="Arial"/>
                <w:sz w:val="22"/>
                <w:szCs w:val="22"/>
              </w:rPr>
              <w:t>3.85</w:t>
            </w:r>
          </w:p>
        </w:tc>
        <w:tc>
          <w:tcPr>
            <w:tcW w:w="720" w:type="dxa"/>
            <w:tcBorders>
              <w:bottom w:val="single" w:sz="4" w:space="0" w:color="auto"/>
            </w:tcBorders>
          </w:tcPr>
          <w:p w14:paraId="0CC7EACD" w14:textId="68ECA956" w:rsidR="00500D69" w:rsidRPr="00500D69" w:rsidRDefault="004E74F9" w:rsidP="00EA3981">
            <w:pPr>
              <w:rPr>
                <w:rFonts w:cs="Arial"/>
                <w:sz w:val="22"/>
                <w:szCs w:val="22"/>
              </w:rPr>
            </w:pPr>
            <w:r>
              <w:rPr>
                <w:rFonts w:cs="Arial"/>
                <w:sz w:val="22"/>
                <w:szCs w:val="22"/>
              </w:rPr>
              <w:t>23.10</w:t>
            </w:r>
          </w:p>
        </w:tc>
        <w:tc>
          <w:tcPr>
            <w:tcW w:w="666" w:type="dxa"/>
            <w:tcBorders>
              <w:bottom w:val="single" w:sz="4" w:space="0" w:color="auto"/>
            </w:tcBorders>
          </w:tcPr>
          <w:p w14:paraId="6C876016" w14:textId="5A292DD8" w:rsidR="00500D69" w:rsidRPr="00500D69" w:rsidRDefault="004E74F9" w:rsidP="00EA3981">
            <w:pPr>
              <w:rPr>
                <w:rFonts w:cs="Arial"/>
                <w:sz w:val="22"/>
                <w:szCs w:val="22"/>
              </w:rPr>
            </w:pPr>
            <w:r>
              <w:rPr>
                <w:rFonts w:cs="Arial"/>
                <w:sz w:val="22"/>
                <w:szCs w:val="22"/>
              </w:rPr>
              <w:t>5.78</w:t>
            </w:r>
          </w:p>
        </w:tc>
        <w:tc>
          <w:tcPr>
            <w:tcW w:w="978" w:type="dxa"/>
            <w:tcBorders>
              <w:bottom w:val="single" w:sz="4" w:space="0" w:color="auto"/>
            </w:tcBorders>
          </w:tcPr>
          <w:p w14:paraId="207E0CE0" w14:textId="77777777" w:rsidR="00500D69" w:rsidRPr="00500D69" w:rsidRDefault="00500D69" w:rsidP="00EA3981">
            <w:pPr>
              <w:rPr>
                <w:rFonts w:cs="Arial"/>
                <w:sz w:val="22"/>
                <w:szCs w:val="22"/>
              </w:rPr>
            </w:pPr>
          </w:p>
        </w:tc>
        <w:tc>
          <w:tcPr>
            <w:tcW w:w="818" w:type="dxa"/>
            <w:tcBorders>
              <w:bottom w:val="single" w:sz="4" w:space="0" w:color="auto"/>
            </w:tcBorders>
          </w:tcPr>
          <w:p w14:paraId="1EC0C1F9" w14:textId="77777777" w:rsidR="00500D69" w:rsidRPr="00500D69" w:rsidRDefault="00500D69" w:rsidP="00EA3981">
            <w:pPr>
              <w:rPr>
                <w:rFonts w:cs="Arial"/>
                <w:sz w:val="22"/>
                <w:szCs w:val="22"/>
              </w:rPr>
            </w:pPr>
          </w:p>
        </w:tc>
        <w:tc>
          <w:tcPr>
            <w:tcW w:w="597" w:type="dxa"/>
            <w:tcBorders>
              <w:bottom w:val="single" w:sz="4" w:space="0" w:color="auto"/>
            </w:tcBorders>
          </w:tcPr>
          <w:p w14:paraId="63DE23B4" w14:textId="77777777" w:rsidR="00500D69" w:rsidRPr="00500D69" w:rsidRDefault="00500D69" w:rsidP="00EA3981">
            <w:pPr>
              <w:rPr>
                <w:rFonts w:cs="Arial"/>
                <w:sz w:val="22"/>
                <w:szCs w:val="22"/>
              </w:rPr>
            </w:pPr>
          </w:p>
        </w:tc>
        <w:tc>
          <w:tcPr>
            <w:tcW w:w="717" w:type="dxa"/>
            <w:tcBorders>
              <w:bottom w:val="single" w:sz="4" w:space="0" w:color="auto"/>
            </w:tcBorders>
          </w:tcPr>
          <w:p w14:paraId="5C0C9DB6" w14:textId="77777777" w:rsidR="00500D69" w:rsidRPr="00500D69" w:rsidRDefault="00500D69" w:rsidP="00EA3981">
            <w:pPr>
              <w:rPr>
                <w:rFonts w:cs="Arial"/>
                <w:sz w:val="22"/>
                <w:szCs w:val="22"/>
              </w:rPr>
            </w:pPr>
          </w:p>
        </w:tc>
        <w:tc>
          <w:tcPr>
            <w:tcW w:w="474" w:type="dxa"/>
            <w:tcBorders>
              <w:bottom w:val="single" w:sz="4" w:space="0" w:color="auto"/>
              <w:right w:val="double" w:sz="4" w:space="0" w:color="FF0000"/>
            </w:tcBorders>
          </w:tcPr>
          <w:p w14:paraId="6B0B297A" w14:textId="77777777" w:rsidR="00500D69" w:rsidRPr="00500D69" w:rsidRDefault="00500D69" w:rsidP="00EA3981">
            <w:pPr>
              <w:rPr>
                <w:rFonts w:cs="Arial"/>
                <w:sz w:val="22"/>
                <w:szCs w:val="22"/>
              </w:rPr>
            </w:pPr>
          </w:p>
        </w:tc>
        <w:tc>
          <w:tcPr>
            <w:tcW w:w="717" w:type="dxa"/>
            <w:tcBorders>
              <w:top w:val="nil"/>
              <w:left w:val="double" w:sz="4" w:space="0" w:color="FF0000"/>
              <w:bottom w:val="double" w:sz="4" w:space="0" w:color="FF0000"/>
              <w:right w:val="double" w:sz="4" w:space="0" w:color="FF0000"/>
            </w:tcBorders>
          </w:tcPr>
          <w:p w14:paraId="26432FC6" w14:textId="4B62449A" w:rsidR="00500D69" w:rsidRPr="00500D69" w:rsidRDefault="00E74F42" w:rsidP="00EA3981">
            <w:pPr>
              <w:rPr>
                <w:rFonts w:cs="Arial"/>
                <w:sz w:val="22"/>
                <w:szCs w:val="22"/>
              </w:rPr>
            </w:pPr>
            <w:r>
              <w:rPr>
                <w:rFonts w:cs="Arial"/>
                <w:sz w:val="22"/>
                <w:szCs w:val="22"/>
              </w:rPr>
              <w:t>82.83</w:t>
            </w:r>
          </w:p>
        </w:tc>
        <w:tc>
          <w:tcPr>
            <w:tcW w:w="470" w:type="dxa"/>
            <w:tcBorders>
              <w:left w:val="double" w:sz="4" w:space="0" w:color="FF0000"/>
              <w:bottom w:val="single" w:sz="4" w:space="0" w:color="auto"/>
              <w:right w:val="double" w:sz="4" w:space="0" w:color="FF0000"/>
            </w:tcBorders>
          </w:tcPr>
          <w:p w14:paraId="7A8C7B8B" w14:textId="77777777" w:rsidR="00500D69" w:rsidRPr="00500D69" w:rsidRDefault="00500D69" w:rsidP="00EA3981">
            <w:pPr>
              <w:rPr>
                <w:rFonts w:cs="Arial"/>
                <w:sz w:val="22"/>
                <w:szCs w:val="22"/>
              </w:rPr>
            </w:pPr>
          </w:p>
        </w:tc>
        <w:tc>
          <w:tcPr>
            <w:tcW w:w="828" w:type="dxa"/>
            <w:tcBorders>
              <w:top w:val="nil"/>
              <w:left w:val="double" w:sz="4" w:space="0" w:color="FF0000"/>
              <w:bottom w:val="double" w:sz="4" w:space="0" w:color="FF0000"/>
              <w:right w:val="double" w:sz="4" w:space="0" w:color="FF0000"/>
            </w:tcBorders>
          </w:tcPr>
          <w:p w14:paraId="7A6C81AC" w14:textId="13EE9C64" w:rsidR="00500D69" w:rsidRPr="00500D69" w:rsidRDefault="00E74F42" w:rsidP="00EA3981">
            <w:pPr>
              <w:rPr>
                <w:rFonts w:cs="Arial"/>
                <w:sz w:val="22"/>
                <w:szCs w:val="22"/>
              </w:rPr>
            </w:pPr>
            <w:r>
              <w:rPr>
                <w:rFonts w:cs="Arial"/>
                <w:sz w:val="22"/>
                <w:szCs w:val="22"/>
              </w:rPr>
              <w:t>138.72</w:t>
            </w:r>
          </w:p>
        </w:tc>
      </w:tr>
    </w:tbl>
    <w:p w14:paraId="3262F072" w14:textId="77777777" w:rsidR="00500D69" w:rsidRPr="003476D5" w:rsidRDefault="00500D69" w:rsidP="00500D69">
      <w:pPr>
        <w:rPr>
          <w:rFonts w:cs="Arial"/>
          <w:sz w:val="24"/>
        </w:rPr>
      </w:pPr>
    </w:p>
    <w:p w14:paraId="18AF107F" w14:textId="77777777" w:rsidR="00500D69" w:rsidRPr="00500D69" w:rsidRDefault="00500D69" w:rsidP="00500D69">
      <w:pPr>
        <w:pStyle w:val="ListParagraph"/>
        <w:numPr>
          <w:ilvl w:val="0"/>
          <w:numId w:val="22"/>
        </w:numPr>
        <w:rPr>
          <w:rFonts w:cs="Arial"/>
          <w:sz w:val="24"/>
        </w:rPr>
      </w:pPr>
      <w:r w:rsidRPr="00500D69">
        <w:rPr>
          <w:rFonts w:cs="Arial"/>
          <w:sz w:val="24"/>
        </w:rPr>
        <w:lastRenderedPageBreak/>
        <w:t>Personnel will be paid at the appropriate role rate applicable to their current contract of employment.</w:t>
      </w:r>
    </w:p>
    <w:p w14:paraId="0F188BC4" w14:textId="77777777" w:rsidR="00500D69" w:rsidRPr="00500D69" w:rsidRDefault="00500D69" w:rsidP="00500D69">
      <w:pPr>
        <w:rPr>
          <w:rFonts w:cs="Arial"/>
          <w:sz w:val="16"/>
          <w:szCs w:val="16"/>
        </w:rPr>
      </w:pPr>
    </w:p>
    <w:p w14:paraId="3BB69773" w14:textId="77777777" w:rsidR="00500D69" w:rsidRDefault="00500D69" w:rsidP="00500D69">
      <w:pPr>
        <w:pStyle w:val="ListParagraph"/>
        <w:numPr>
          <w:ilvl w:val="0"/>
          <w:numId w:val="22"/>
        </w:numPr>
        <w:rPr>
          <w:rFonts w:cs="Arial"/>
          <w:sz w:val="24"/>
        </w:rPr>
      </w:pPr>
      <w:r w:rsidRPr="00500D69">
        <w:rPr>
          <w:rFonts w:cs="Arial"/>
          <w:sz w:val="24"/>
        </w:rPr>
        <w:t>Where possible, the additional cover will be offered to those at the applicable role in the first instance. However, should there be insufficient volunteers; additional cover may be offered to the next level of Manager.</w:t>
      </w:r>
    </w:p>
    <w:p w14:paraId="1C420727" w14:textId="77777777" w:rsidR="00500D69" w:rsidRPr="00500D69" w:rsidRDefault="00500D69" w:rsidP="00500D69">
      <w:pPr>
        <w:pStyle w:val="ListParagraph"/>
        <w:rPr>
          <w:rFonts w:cs="Arial"/>
          <w:sz w:val="16"/>
          <w:szCs w:val="16"/>
        </w:rPr>
      </w:pPr>
    </w:p>
    <w:p w14:paraId="66DCE7EC" w14:textId="77777777" w:rsidR="00500D69" w:rsidRPr="00500D69" w:rsidRDefault="00500D69" w:rsidP="00500D69">
      <w:pPr>
        <w:pStyle w:val="ListParagraph"/>
        <w:numPr>
          <w:ilvl w:val="0"/>
          <w:numId w:val="22"/>
        </w:numPr>
        <w:rPr>
          <w:rFonts w:cs="Arial"/>
          <w:sz w:val="24"/>
        </w:rPr>
      </w:pPr>
      <w:r w:rsidRPr="00500D69">
        <w:rPr>
          <w:rFonts w:cs="Arial"/>
          <w:sz w:val="24"/>
        </w:rPr>
        <w:t>In accordance with grey book, if Group Managers work additional standby hours to cover a rota they will be remunerated at the SMB competent rate as detailed above.</w:t>
      </w:r>
    </w:p>
    <w:p w14:paraId="43BA3E12" w14:textId="77777777" w:rsidR="00500D69" w:rsidRPr="00500D69" w:rsidRDefault="00500D69" w:rsidP="00500D69">
      <w:pPr>
        <w:rPr>
          <w:rFonts w:cs="Arial"/>
          <w:sz w:val="16"/>
          <w:szCs w:val="16"/>
        </w:rPr>
      </w:pPr>
    </w:p>
    <w:p w14:paraId="5AEC239C" w14:textId="77777777" w:rsidR="00500D69" w:rsidRPr="00500D69" w:rsidRDefault="00500D69" w:rsidP="00500D69">
      <w:pPr>
        <w:pStyle w:val="ListParagraph"/>
        <w:numPr>
          <w:ilvl w:val="0"/>
          <w:numId w:val="22"/>
        </w:numPr>
        <w:rPr>
          <w:rFonts w:cs="Arial"/>
          <w:sz w:val="24"/>
        </w:rPr>
      </w:pPr>
      <w:r w:rsidRPr="00500D69">
        <w:rPr>
          <w:rFonts w:cs="Arial"/>
          <w:sz w:val="24"/>
        </w:rPr>
        <w:t>No additional travel or subsistence payment will be paid to personnel covering overtime shifts and the existing policies around operational cover zones will remain.</w:t>
      </w:r>
    </w:p>
    <w:p w14:paraId="301F072B" w14:textId="77777777" w:rsidR="00500D69" w:rsidRPr="00500D69" w:rsidRDefault="00500D69" w:rsidP="00500D69">
      <w:pPr>
        <w:rPr>
          <w:rFonts w:cs="Arial"/>
          <w:sz w:val="16"/>
          <w:szCs w:val="16"/>
        </w:rPr>
      </w:pPr>
    </w:p>
    <w:p w14:paraId="012C31F8" w14:textId="65FE427A" w:rsidR="00500D69" w:rsidRPr="00CB26E4" w:rsidRDefault="00500D69" w:rsidP="00CB26E4">
      <w:pPr>
        <w:pStyle w:val="ListParagraph"/>
        <w:numPr>
          <w:ilvl w:val="0"/>
          <w:numId w:val="22"/>
        </w:numPr>
        <w:spacing w:line="240" w:lineRule="auto"/>
        <w:rPr>
          <w:rFonts w:cs="Arial"/>
          <w:sz w:val="24"/>
        </w:rPr>
      </w:pPr>
      <w:r w:rsidRPr="00CB26E4">
        <w:rPr>
          <w:rFonts w:cs="Arial"/>
          <w:sz w:val="24"/>
        </w:rPr>
        <w:t>If the Manager giving cover is unable to provide a base within the operational cover zone then they may be able to stay at an appropriate Fire Station, subject to approval from the Head of Service Delivery or in their absence the relevant Group Operational Commander.</w:t>
      </w:r>
    </w:p>
    <w:sectPr w:rsidR="00500D69" w:rsidRPr="00CB26E4"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28E6C" w14:textId="77777777" w:rsidR="001D47A4" w:rsidRDefault="001D47A4">
      <w:r>
        <w:separator/>
      </w:r>
    </w:p>
  </w:endnote>
  <w:endnote w:type="continuationSeparator" w:id="0">
    <w:p w14:paraId="010D9B67" w14:textId="77777777" w:rsidR="001D47A4" w:rsidRDefault="001D47A4">
      <w:r>
        <w:continuationSeparator/>
      </w:r>
    </w:p>
  </w:endnote>
  <w:endnote w:type="continuationNotice" w:id="1">
    <w:p w14:paraId="24B3D9D3" w14:textId="77777777" w:rsidR="001D47A4" w:rsidRDefault="001D47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2" w14:textId="77777777" w:rsidR="001D47A4" w:rsidRPr="007257C5" w:rsidRDefault="001D47A4"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Name/v.1.0/</w:t>
    </w:r>
    <w:proofErr w:type="spellStart"/>
    <w:r>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3" w14:textId="7D54B61C" w:rsidR="001D47A4" w:rsidRPr="003A23A5" w:rsidRDefault="001D47A4" w:rsidP="00C93F7B">
    <w:pPr>
      <w:tabs>
        <w:tab w:val="left" w:pos="5103"/>
        <w:tab w:val="left" w:pos="8505"/>
      </w:tabs>
      <w:rPr>
        <w:rFonts w:cs="Arial"/>
        <w:b/>
        <w:color w:val="999999"/>
        <w:sz w:val="19"/>
        <w:szCs w:val="19"/>
      </w:rPr>
    </w:pPr>
    <w:r>
      <w:rPr>
        <w:rFonts w:cs="Arial"/>
        <w:b/>
        <w:color w:val="007EA9"/>
        <w:sz w:val="19"/>
        <w:szCs w:val="19"/>
      </w:rPr>
      <w:t>Additional Payment for Officer Standby Hours</w:t>
    </w: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9128C">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Pr>
        <w:rFonts w:cs="Arial"/>
        <w:b/>
        <w:color w:val="007EA9"/>
        <w:sz w:val="19"/>
        <w:szCs w:val="19"/>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5" w14:textId="77777777" w:rsidR="001D47A4" w:rsidRPr="007257C5" w:rsidRDefault="001D47A4"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0C33" w14:textId="77777777" w:rsidR="001D47A4" w:rsidRDefault="001D47A4">
      <w:r>
        <w:separator/>
      </w:r>
    </w:p>
  </w:footnote>
  <w:footnote w:type="continuationSeparator" w:id="0">
    <w:p w14:paraId="45ED89C9" w14:textId="77777777" w:rsidR="001D47A4" w:rsidRDefault="001D47A4">
      <w:r>
        <w:continuationSeparator/>
      </w:r>
    </w:p>
  </w:footnote>
  <w:footnote w:type="continuationNotice" w:id="1">
    <w:p w14:paraId="5556C894" w14:textId="77777777" w:rsidR="001D47A4" w:rsidRDefault="001D47A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28" w14:textId="77777777" w:rsidR="001D47A4" w:rsidRDefault="001D47A4" w:rsidP="000D0DFF">
    <w:pPr>
      <w:pBdr>
        <w:bottom w:val="single" w:sz="4" w:space="1" w:color="007EA9"/>
      </w:pBdr>
      <w:tabs>
        <w:tab w:val="left" w:pos="0"/>
      </w:tabs>
      <w:ind w:left="-851" w:right="-851"/>
      <w:rPr>
        <w:rFonts w:cs="Arial"/>
        <w:b/>
        <w:color w:val="007EA9"/>
        <w:sz w:val="19"/>
        <w:szCs w:val="19"/>
      </w:rPr>
    </w:pPr>
  </w:p>
  <w:p w14:paraId="752E5F29" w14:textId="77777777" w:rsidR="001D47A4" w:rsidRDefault="001D47A4" w:rsidP="000D0DFF">
    <w:pPr>
      <w:pBdr>
        <w:bottom w:val="single" w:sz="4" w:space="1" w:color="007EA9"/>
      </w:pBdr>
      <w:tabs>
        <w:tab w:val="left" w:pos="0"/>
      </w:tabs>
      <w:ind w:left="-851" w:right="-851"/>
      <w:rPr>
        <w:rFonts w:cs="Arial"/>
        <w:b/>
        <w:color w:val="007EA9"/>
        <w:sz w:val="19"/>
        <w:szCs w:val="19"/>
      </w:rPr>
    </w:pPr>
  </w:p>
  <w:p w14:paraId="752E5F2A" w14:textId="77777777" w:rsidR="001D47A4" w:rsidRDefault="001D47A4"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752E5F2B" w14:textId="77777777" w:rsidR="001D47A4" w:rsidRPr="003A23A5" w:rsidRDefault="001D47A4" w:rsidP="000D0DFF">
    <w:pPr>
      <w:pBdr>
        <w:bottom w:val="single" w:sz="4" w:space="1" w:color="007EA9"/>
      </w:pBdr>
      <w:tabs>
        <w:tab w:val="left" w:pos="0"/>
      </w:tabs>
      <w:ind w:left="-851" w:right="-851"/>
      <w:rPr>
        <w:rFonts w:cs="Arial"/>
        <w:b/>
        <w:color w:val="007EA9"/>
        <w:sz w:val="19"/>
        <w:szCs w:val="19"/>
      </w:rPr>
    </w:pPr>
  </w:p>
  <w:p w14:paraId="752E5F2C" w14:textId="77777777" w:rsidR="001D47A4" w:rsidRPr="000D0DFF" w:rsidRDefault="001D47A4"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2D" w14:textId="77777777" w:rsidR="001D47A4" w:rsidRDefault="001D47A4" w:rsidP="000D0DFF">
    <w:pPr>
      <w:tabs>
        <w:tab w:val="left" w:pos="0"/>
      </w:tabs>
      <w:ind w:left="-851" w:right="-56"/>
      <w:jc w:val="right"/>
      <w:rPr>
        <w:rFonts w:cs="Arial"/>
        <w:b/>
        <w:color w:val="007EA9"/>
        <w:sz w:val="19"/>
        <w:szCs w:val="19"/>
      </w:rPr>
    </w:pPr>
  </w:p>
  <w:p w14:paraId="752E5F2E" w14:textId="77777777" w:rsidR="001D47A4" w:rsidRDefault="001D47A4" w:rsidP="000D0DFF">
    <w:pPr>
      <w:tabs>
        <w:tab w:val="left" w:pos="0"/>
      </w:tabs>
      <w:ind w:left="-851" w:right="-56"/>
      <w:jc w:val="right"/>
      <w:rPr>
        <w:rFonts w:cs="Arial"/>
        <w:b/>
        <w:color w:val="007EA9"/>
        <w:sz w:val="19"/>
        <w:szCs w:val="19"/>
      </w:rPr>
    </w:pPr>
  </w:p>
  <w:p w14:paraId="752E5F2F" w14:textId="77777777" w:rsidR="001D47A4" w:rsidRDefault="001D47A4"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752E5F30" w14:textId="77777777" w:rsidR="001D47A4" w:rsidRPr="003A23A5" w:rsidRDefault="001D47A4" w:rsidP="000D0DFF">
    <w:pPr>
      <w:pBdr>
        <w:bottom w:val="single" w:sz="4" w:space="1" w:color="007EA9"/>
      </w:pBdr>
      <w:tabs>
        <w:tab w:val="left" w:pos="0"/>
      </w:tabs>
      <w:ind w:left="-851" w:right="-851"/>
      <w:rPr>
        <w:rFonts w:cs="Arial"/>
        <w:b/>
        <w:color w:val="007EA9"/>
        <w:sz w:val="19"/>
        <w:szCs w:val="19"/>
      </w:rPr>
    </w:pPr>
  </w:p>
  <w:p w14:paraId="752E5F31" w14:textId="77777777" w:rsidR="001D47A4" w:rsidRPr="000D0DFF" w:rsidRDefault="001D47A4"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5F34" w14:textId="77777777" w:rsidR="001D47A4" w:rsidRDefault="001D47A4">
    <w:pPr>
      <w:pStyle w:val="Header"/>
    </w:pPr>
    <w:r>
      <w:rPr>
        <w:noProof/>
      </w:rPr>
      <w:drawing>
        <wp:inline distT="0" distB="0" distL="0" distR="0" wp14:anchorId="752E5F36" wp14:editId="752E5F37">
          <wp:extent cx="6479540" cy="1051611"/>
          <wp:effectExtent l="0" t="0" r="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81D"/>
    <w:multiLevelType w:val="hybridMultilevel"/>
    <w:tmpl w:val="D0E6B1BE"/>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455AA"/>
    <w:multiLevelType w:val="hybridMultilevel"/>
    <w:tmpl w:val="3D08B90A"/>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65996"/>
    <w:multiLevelType w:val="hybridMultilevel"/>
    <w:tmpl w:val="4F6C6A06"/>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40"/>
    <w:multiLevelType w:val="hybridMultilevel"/>
    <w:tmpl w:val="FAAAFA20"/>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A2AB7"/>
    <w:multiLevelType w:val="hybridMultilevel"/>
    <w:tmpl w:val="5F42F8A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835CB"/>
    <w:multiLevelType w:val="hybridMultilevel"/>
    <w:tmpl w:val="DF903258"/>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4F3FDC"/>
    <w:multiLevelType w:val="hybridMultilevel"/>
    <w:tmpl w:val="372CE124"/>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AD4170"/>
    <w:multiLevelType w:val="hybridMultilevel"/>
    <w:tmpl w:val="4F12BD62"/>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B5490B"/>
    <w:multiLevelType w:val="hybridMultilevel"/>
    <w:tmpl w:val="83F85B5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5199A"/>
    <w:multiLevelType w:val="hybridMultilevel"/>
    <w:tmpl w:val="AF5CC7D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76B3F"/>
    <w:multiLevelType w:val="hybridMultilevel"/>
    <w:tmpl w:val="2A44CA0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8E1A23"/>
    <w:multiLevelType w:val="hybridMultilevel"/>
    <w:tmpl w:val="DCF07852"/>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2E346F"/>
    <w:multiLevelType w:val="hybridMultilevel"/>
    <w:tmpl w:val="AA0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76435"/>
    <w:multiLevelType w:val="hybridMultilevel"/>
    <w:tmpl w:val="735AC83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4170F"/>
    <w:multiLevelType w:val="hybridMultilevel"/>
    <w:tmpl w:val="AF4801F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928A8"/>
    <w:multiLevelType w:val="hybridMultilevel"/>
    <w:tmpl w:val="E84AF094"/>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41055A"/>
    <w:multiLevelType w:val="hybridMultilevel"/>
    <w:tmpl w:val="EE28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C1C1D"/>
    <w:multiLevelType w:val="hybridMultilevel"/>
    <w:tmpl w:val="596870AA"/>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AF32CF"/>
    <w:multiLevelType w:val="hybridMultilevel"/>
    <w:tmpl w:val="FA52C9A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34155"/>
    <w:multiLevelType w:val="hybridMultilevel"/>
    <w:tmpl w:val="4B8E099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34"/>
    <w:multiLevelType w:val="hybridMultilevel"/>
    <w:tmpl w:val="81540F42"/>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A49F7"/>
    <w:multiLevelType w:val="hybridMultilevel"/>
    <w:tmpl w:val="84BC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981283"/>
    <w:multiLevelType w:val="hybridMultilevel"/>
    <w:tmpl w:val="C486C39E"/>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CC29DC"/>
    <w:multiLevelType w:val="hybridMultilevel"/>
    <w:tmpl w:val="1E6428D0"/>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9"/>
  </w:num>
  <w:num w:numId="5">
    <w:abstractNumId w:val="19"/>
  </w:num>
  <w:num w:numId="6">
    <w:abstractNumId w:val="4"/>
  </w:num>
  <w:num w:numId="7">
    <w:abstractNumId w:val="14"/>
  </w:num>
  <w:num w:numId="8">
    <w:abstractNumId w:val="23"/>
  </w:num>
  <w:num w:numId="9">
    <w:abstractNumId w:val="22"/>
  </w:num>
  <w:num w:numId="10">
    <w:abstractNumId w:val="2"/>
  </w:num>
  <w:num w:numId="11">
    <w:abstractNumId w:val="12"/>
  </w:num>
  <w:num w:numId="12">
    <w:abstractNumId w:val="17"/>
  </w:num>
  <w:num w:numId="13">
    <w:abstractNumId w:val="7"/>
  </w:num>
  <w:num w:numId="14">
    <w:abstractNumId w:val="10"/>
  </w:num>
  <w:num w:numId="15">
    <w:abstractNumId w:val="5"/>
  </w:num>
  <w:num w:numId="16">
    <w:abstractNumId w:val="3"/>
  </w:num>
  <w:num w:numId="17">
    <w:abstractNumId w:val="21"/>
  </w:num>
  <w:num w:numId="18">
    <w:abstractNumId w:val="16"/>
  </w:num>
  <w:num w:numId="19">
    <w:abstractNumId w:val="8"/>
  </w:num>
  <w:num w:numId="20">
    <w:abstractNumId w:val="11"/>
  </w:num>
  <w:num w:numId="21">
    <w:abstractNumId w:val="15"/>
  </w:num>
  <w:num w:numId="22">
    <w:abstractNumId w:val="0"/>
  </w:num>
  <w:num w:numId="23">
    <w:abstractNumId w:val="18"/>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2ABD"/>
    <w:rsid w:val="00064C3B"/>
    <w:rsid w:val="000655C3"/>
    <w:rsid w:val="00074065"/>
    <w:rsid w:val="000A2AD3"/>
    <w:rsid w:val="000B6949"/>
    <w:rsid w:val="000B69A7"/>
    <w:rsid w:val="000B712A"/>
    <w:rsid w:val="000C1774"/>
    <w:rsid w:val="000C5582"/>
    <w:rsid w:val="000C62F0"/>
    <w:rsid w:val="000D0DFF"/>
    <w:rsid w:val="000D3613"/>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0A56"/>
    <w:rsid w:val="001C209C"/>
    <w:rsid w:val="001C3023"/>
    <w:rsid w:val="001D039A"/>
    <w:rsid w:val="001D0693"/>
    <w:rsid w:val="001D47A4"/>
    <w:rsid w:val="001E3959"/>
    <w:rsid w:val="001E5DBA"/>
    <w:rsid w:val="001F1C3B"/>
    <w:rsid w:val="00201BE3"/>
    <w:rsid w:val="00204386"/>
    <w:rsid w:val="00205D1F"/>
    <w:rsid w:val="00210389"/>
    <w:rsid w:val="002208DF"/>
    <w:rsid w:val="002208F4"/>
    <w:rsid w:val="00225128"/>
    <w:rsid w:val="00226EC4"/>
    <w:rsid w:val="002279EF"/>
    <w:rsid w:val="002300F9"/>
    <w:rsid w:val="0023224B"/>
    <w:rsid w:val="002322B3"/>
    <w:rsid w:val="00235309"/>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000"/>
    <w:rsid w:val="00420B42"/>
    <w:rsid w:val="00424778"/>
    <w:rsid w:val="004253EA"/>
    <w:rsid w:val="004263CF"/>
    <w:rsid w:val="00427035"/>
    <w:rsid w:val="004459E2"/>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D5B8A"/>
    <w:rsid w:val="004E1ABA"/>
    <w:rsid w:val="004E3AD9"/>
    <w:rsid w:val="004E47C2"/>
    <w:rsid w:val="004E74F9"/>
    <w:rsid w:val="004E7AC9"/>
    <w:rsid w:val="00500D6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17A5A"/>
    <w:rsid w:val="006213BE"/>
    <w:rsid w:val="00621E83"/>
    <w:rsid w:val="00630CBA"/>
    <w:rsid w:val="0063421D"/>
    <w:rsid w:val="006356BE"/>
    <w:rsid w:val="0064524B"/>
    <w:rsid w:val="0064541A"/>
    <w:rsid w:val="00651188"/>
    <w:rsid w:val="00651F96"/>
    <w:rsid w:val="0065495D"/>
    <w:rsid w:val="00661973"/>
    <w:rsid w:val="00663175"/>
    <w:rsid w:val="006704DE"/>
    <w:rsid w:val="00671273"/>
    <w:rsid w:val="00676D2B"/>
    <w:rsid w:val="006A2DCC"/>
    <w:rsid w:val="006B0CA7"/>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A33F1"/>
    <w:rsid w:val="007B32FB"/>
    <w:rsid w:val="007B45CE"/>
    <w:rsid w:val="007B5F9A"/>
    <w:rsid w:val="007B7517"/>
    <w:rsid w:val="007D1565"/>
    <w:rsid w:val="007D33AF"/>
    <w:rsid w:val="007D33BD"/>
    <w:rsid w:val="007E02C2"/>
    <w:rsid w:val="007E1BBC"/>
    <w:rsid w:val="007E2DA1"/>
    <w:rsid w:val="007F0F4C"/>
    <w:rsid w:val="007F6EFB"/>
    <w:rsid w:val="008139D7"/>
    <w:rsid w:val="00816E28"/>
    <w:rsid w:val="008170FF"/>
    <w:rsid w:val="008278C0"/>
    <w:rsid w:val="00833179"/>
    <w:rsid w:val="00836C10"/>
    <w:rsid w:val="00837D51"/>
    <w:rsid w:val="00844464"/>
    <w:rsid w:val="00847E94"/>
    <w:rsid w:val="00864A0C"/>
    <w:rsid w:val="008659FA"/>
    <w:rsid w:val="00867FD0"/>
    <w:rsid w:val="00875A3B"/>
    <w:rsid w:val="008837D5"/>
    <w:rsid w:val="008845B9"/>
    <w:rsid w:val="008858E4"/>
    <w:rsid w:val="00886295"/>
    <w:rsid w:val="00887102"/>
    <w:rsid w:val="00890D6C"/>
    <w:rsid w:val="00891AC9"/>
    <w:rsid w:val="00891BFE"/>
    <w:rsid w:val="008A3799"/>
    <w:rsid w:val="008A4830"/>
    <w:rsid w:val="008A4ABE"/>
    <w:rsid w:val="008B2E23"/>
    <w:rsid w:val="008B4BD2"/>
    <w:rsid w:val="008C124B"/>
    <w:rsid w:val="008C3D45"/>
    <w:rsid w:val="008D1740"/>
    <w:rsid w:val="008F79A0"/>
    <w:rsid w:val="009035A7"/>
    <w:rsid w:val="009054E6"/>
    <w:rsid w:val="009120E6"/>
    <w:rsid w:val="00920CD7"/>
    <w:rsid w:val="0093756F"/>
    <w:rsid w:val="009422C2"/>
    <w:rsid w:val="00944FAA"/>
    <w:rsid w:val="00944FC0"/>
    <w:rsid w:val="0095010B"/>
    <w:rsid w:val="0095255F"/>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650D7"/>
    <w:rsid w:val="00A75050"/>
    <w:rsid w:val="00A8163E"/>
    <w:rsid w:val="00A84663"/>
    <w:rsid w:val="00A853D3"/>
    <w:rsid w:val="00A87000"/>
    <w:rsid w:val="00A9128C"/>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12BED"/>
    <w:rsid w:val="00B20111"/>
    <w:rsid w:val="00B2128D"/>
    <w:rsid w:val="00B21E38"/>
    <w:rsid w:val="00B228E6"/>
    <w:rsid w:val="00B23E90"/>
    <w:rsid w:val="00B26FAE"/>
    <w:rsid w:val="00B31704"/>
    <w:rsid w:val="00B34F57"/>
    <w:rsid w:val="00B40CE0"/>
    <w:rsid w:val="00B47F44"/>
    <w:rsid w:val="00B54BB7"/>
    <w:rsid w:val="00B55433"/>
    <w:rsid w:val="00B609B3"/>
    <w:rsid w:val="00B83907"/>
    <w:rsid w:val="00B91AB5"/>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3F7B"/>
    <w:rsid w:val="00C94AEC"/>
    <w:rsid w:val="00C965FA"/>
    <w:rsid w:val="00CA07B7"/>
    <w:rsid w:val="00CA1F7C"/>
    <w:rsid w:val="00CB192A"/>
    <w:rsid w:val="00CB26E4"/>
    <w:rsid w:val="00CC0379"/>
    <w:rsid w:val="00CC2960"/>
    <w:rsid w:val="00CC63A7"/>
    <w:rsid w:val="00CC68EF"/>
    <w:rsid w:val="00CD5B04"/>
    <w:rsid w:val="00CE1805"/>
    <w:rsid w:val="00CE20F3"/>
    <w:rsid w:val="00CF20C9"/>
    <w:rsid w:val="00CF4C18"/>
    <w:rsid w:val="00CF5187"/>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226"/>
    <w:rsid w:val="00DF4AB0"/>
    <w:rsid w:val="00E04EB4"/>
    <w:rsid w:val="00E053AA"/>
    <w:rsid w:val="00E12B8F"/>
    <w:rsid w:val="00E21865"/>
    <w:rsid w:val="00E36C2C"/>
    <w:rsid w:val="00E56122"/>
    <w:rsid w:val="00E567A7"/>
    <w:rsid w:val="00E62275"/>
    <w:rsid w:val="00E65945"/>
    <w:rsid w:val="00E738D2"/>
    <w:rsid w:val="00E7451C"/>
    <w:rsid w:val="00E74F42"/>
    <w:rsid w:val="00E811C9"/>
    <w:rsid w:val="00E842F8"/>
    <w:rsid w:val="00E858DF"/>
    <w:rsid w:val="00E917A0"/>
    <w:rsid w:val="00E95672"/>
    <w:rsid w:val="00E95B2C"/>
    <w:rsid w:val="00E978FB"/>
    <w:rsid w:val="00EA0069"/>
    <w:rsid w:val="00EA3981"/>
    <w:rsid w:val="00EA5121"/>
    <w:rsid w:val="00EA63F1"/>
    <w:rsid w:val="00EB16FA"/>
    <w:rsid w:val="00EB2101"/>
    <w:rsid w:val="00EC0376"/>
    <w:rsid w:val="00EC35EF"/>
    <w:rsid w:val="00ED1F4A"/>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2E91"/>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2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uiPriority w:val="59"/>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uiPriority w:val="59"/>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of_x0020_Review xmlns="5858450a-0c8e-476d-87fd-b4454e28fd27">2017-06-29T23:00:00+00:00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8AD8-3D79-416F-9022-0965BE07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8D3A58-57AC-4B54-BBB5-357F53CD8273}">
  <ds:schemaRefs>
    <ds:schemaRef ds:uri="http://schemas.microsoft.com/sharepoint/v3/contenttype/forms"/>
  </ds:schemaRefs>
</ds:datastoreItem>
</file>

<file path=customXml/itemProps3.xml><?xml version="1.0" encoding="utf-8"?>
<ds:datastoreItem xmlns:ds="http://schemas.openxmlformats.org/officeDocument/2006/customXml" ds:itemID="{4FF945EF-0441-4F43-963B-2A9D1BCF0C04}">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5858450a-0c8e-476d-87fd-b4454e28fd27"/>
    <ds:schemaRef ds:uri="http://purl.org/dc/elements/1.1/"/>
  </ds:schemaRefs>
</ds:datastoreItem>
</file>

<file path=customXml/itemProps4.xml><?xml version="1.0" encoding="utf-8"?>
<ds:datastoreItem xmlns:ds="http://schemas.openxmlformats.org/officeDocument/2006/customXml" ds:itemID="{7FCF0AEC-45DE-493A-BE40-8556F685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Additional payment for officer standby hours Policy</vt:lpstr>
    </vt:vector>
  </TitlesOfParts>
  <Company>Pure Comminication</Company>
  <LinksUpToDate>false</LinksUpToDate>
  <CharactersWithSpaces>4245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payment for officer standby hours Policy</dc:title>
  <dc:creator>David R Smith</dc:creator>
  <cp:lastModifiedBy>Edgar, Dave A</cp:lastModifiedBy>
  <cp:revision>3</cp:revision>
  <cp:lastPrinted>2014-11-20T14:46:00Z</cp:lastPrinted>
  <dcterms:created xsi:type="dcterms:W3CDTF">2017-06-21T09:43:00Z</dcterms:created>
  <dcterms:modified xsi:type="dcterms:W3CDTF">2017-06-21T12:33:00Z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y fmtid="{D5CDD505-2E9C-101B-9397-08002B2CF9AE}" pid="3" name="SPPCopyMoveEvent">
    <vt:lpwstr>0</vt:lpwstr>
  </property>
  <property fmtid="{D5CDD505-2E9C-101B-9397-08002B2CF9AE}" pid="4" name="Order">
    <vt:r8>5700</vt:r8>
  </property>
  <property fmtid="{D5CDD505-2E9C-101B-9397-08002B2CF9AE}" pid="5" name="Type of Document">
    <vt:lpwstr>Policy - General</vt:lpwstr>
  </property>
  <property fmtid="{D5CDD505-2E9C-101B-9397-08002B2CF9AE}" pid="6" name="Department owner">
    <vt:lpwstr>Service Support</vt:lpwstr>
  </property>
  <property fmtid="{D5CDD505-2E9C-101B-9397-08002B2CF9AE}" pid="7" name="Quality Assurer">
    <vt:lpwstr>ACO Healey</vt:lpwstr>
  </property>
  <property fmtid="{D5CDD505-2E9C-101B-9397-08002B2CF9AE}" pid="8" name="Comments Box">
    <vt:lpwstr>Approved by PAG 18/07/16</vt:lpwstr>
  </property>
  <property fmtid="{D5CDD505-2E9C-101B-9397-08002B2CF9AE}" pid="9" name="Policy Group">
    <vt:lpwstr>Human ResourcesService Support</vt:lpwstr>
  </property>
  <property fmtid="{D5CDD505-2E9C-101B-9397-08002B2CF9AE}" pid="10" name="Date of Issue">
    <vt:lpwstr>2016-07-18T23:00:00+00:00</vt:lpwstr>
  </property>
  <property fmtid="{D5CDD505-2E9C-101B-9397-08002B2CF9AE}" pid="11" name="Unique Number">
    <vt:lpwstr>14</vt:lpwstr>
  </property>
  <property fmtid="{D5CDD505-2E9C-101B-9397-08002B2CF9AE}" pid="12" name="TU Approval">
    <vt:lpwstr>Yes</vt:lpwstr>
  </property>
  <property fmtid="{D5CDD505-2E9C-101B-9397-08002B2CF9AE}" pid="13" name="Status">
    <vt:lpwstr>Published</vt:lpwstr>
  </property>
  <property fmtid="{D5CDD505-2E9C-101B-9397-08002B2CF9AE}" pid="14" name="Specialist Individual">
    <vt:lpwstr>ACO Healey</vt:lpwstr>
  </property>
</Properties>
</file>