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35" w:rsidRDefault="000E2C35" w:rsidP="006A2DCC"/>
    <w:p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79" w:rsidRPr="00E36C2C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Procedure</w:t>
                            </w:r>
                          </w:p>
                          <w:p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F15879" w:rsidRPr="00E36C2C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Procedure</w:t>
                      </w: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D077D9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87630</wp:posOffset>
                </wp:positionV>
                <wp:extent cx="2590165" cy="11118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80" w:rsidRPr="00F115F7" w:rsidRDefault="00F115F7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115F7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>Recruitment, Appointment and Induction</w:t>
                            </w:r>
                          </w:p>
                          <w:p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1.65pt;margin-top:6.9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oODwIAAPw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" filled="f" stroked="f">
                <v:textbox style="mso-fit-shape-to-text:t">
                  <w:txbxContent>
                    <w:p w:rsidR="003E2C80" w:rsidRPr="00F115F7" w:rsidRDefault="00F115F7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 xml:space="preserve">  </w:t>
                      </w:r>
                      <w:r w:rsidRPr="00F115F7"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>Recruitment, Appointment and Induction</w:t>
                      </w:r>
                    </w:p>
                    <w:p w:rsidR="003E2C80" w:rsidRDefault="003E2C80"/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0E2C35" w:rsidP="006A2DCC"/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Pr="00E56122" w:rsidRDefault="00BC12AE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Introduction</w:t>
      </w:r>
    </w:p>
    <w:p w:rsidR="003E2C80" w:rsidRPr="00C60A17" w:rsidRDefault="003E2C80" w:rsidP="00E56122">
      <w:pPr>
        <w:pStyle w:val="SubHead"/>
        <w:rPr>
          <w:rFonts w:ascii="Arial" w:hAnsi="Arial" w:cs="Arial"/>
          <w:bCs/>
          <w:sz w:val="24"/>
          <w:szCs w:val="24"/>
        </w:rPr>
      </w:pPr>
    </w:p>
    <w:p w:rsidR="00EC0376" w:rsidRPr="00EC0376" w:rsidRDefault="00B175F7" w:rsidP="00EC0376">
      <w:pPr>
        <w:tabs>
          <w:tab w:val="num" w:pos="720"/>
        </w:tabs>
        <w:rPr>
          <w:rFonts w:cs="Arial"/>
          <w:sz w:val="24"/>
        </w:rPr>
      </w:pPr>
      <w:r>
        <w:rPr>
          <w:rFonts w:cs="Arial"/>
          <w:sz w:val="24"/>
        </w:rPr>
        <w:t>This procedure applies where people are being recruited to posts with the council and should be read in conjunction with the Recruitment, Appointment and Induction policy.</w:t>
      </w:r>
    </w:p>
    <w:p w:rsidR="00EC0376" w:rsidRPr="00EC0376" w:rsidRDefault="00EC0376" w:rsidP="00EC0376">
      <w:pPr>
        <w:rPr>
          <w:rFonts w:cs="Arial"/>
          <w:sz w:val="24"/>
        </w:rPr>
      </w:pPr>
    </w:p>
    <w:p w:rsidR="00EC0376" w:rsidRDefault="00B175F7" w:rsidP="00EC0376">
      <w:pPr>
        <w:rPr>
          <w:rFonts w:cs="Arial"/>
          <w:sz w:val="24"/>
        </w:rPr>
      </w:pPr>
      <w:r>
        <w:rPr>
          <w:rFonts w:cs="Arial"/>
          <w:sz w:val="24"/>
        </w:rPr>
        <w:t>The procedure is intended to support managers and applicants with the aim of ensuring timely recruitment and induction to help maintain council services.</w:t>
      </w:r>
    </w:p>
    <w:p w:rsidR="00B175F7" w:rsidRDefault="00B175F7" w:rsidP="00EC0376">
      <w:pPr>
        <w:rPr>
          <w:rFonts w:cs="Arial"/>
          <w:sz w:val="24"/>
        </w:rPr>
      </w:pPr>
    </w:p>
    <w:p w:rsidR="002E3574" w:rsidRDefault="002E3574" w:rsidP="00EC0376">
      <w:pPr>
        <w:rPr>
          <w:rFonts w:cs="Arial"/>
          <w:sz w:val="24"/>
        </w:rPr>
      </w:pPr>
      <w:r>
        <w:rPr>
          <w:rFonts w:cs="Arial"/>
          <w:sz w:val="24"/>
        </w:rPr>
        <w:t>Where the post involves contact with service users, managers should refer to the Safe Recruitment procedure</w:t>
      </w:r>
      <w:r w:rsidR="00656EE6">
        <w:rPr>
          <w:rFonts w:cs="Arial"/>
          <w:sz w:val="24"/>
        </w:rPr>
        <w:t xml:space="preserve"> to ensure people who may present a risk of harm are not allowed to work with children or adults in the council’s care</w:t>
      </w:r>
      <w:r>
        <w:rPr>
          <w:rFonts w:cs="Arial"/>
          <w:sz w:val="24"/>
        </w:rPr>
        <w:t>.</w:t>
      </w:r>
    </w:p>
    <w:p w:rsidR="002E3574" w:rsidRDefault="002E3574" w:rsidP="00EC0376">
      <w:pPr>
        <w:rPr>
          <w:rFonts w:cs="Arial"/>
          <w:sz w:val="24"/>
        </w:rPr>
      </w:pPr>
    </w:p>
    <w:p w:rsidR="00B175F7" w:rsidRDefault="00B175F7" w:rsidP="00EC0376">
      <w:pPr>
        <w:rPr>
          <w:rFonts w:cs="Arial"/>
          <w:sz w:val="24"/>
        </w:rPr>
      </w:pPr>
      <w:r>
        <w:rPr>
          <w:rFonts w:cs="Arial"/>
          <w:sz w:val="24"/>
        </w:rPr>
        <w:t>Further guidance and a process map on specific aspects of the procedure can be found at:</w:t>
      </w:r>
    </w:p>
    <w:p w:rsidR="00D9117D" w:rsidRDefault="00D9117D" w:rsidP="00EC0376">
      <w:pPr>
        <w:pStyle w:val="SubHead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Link to: </w:t>
      </w:r>
      <w:hyperlink r:id="rId9" w:history="1">
        <w:r w:rsidRPr="00D9117D">
          <w:rPr>
            <w:rStyle w:val="Hyperlink"/>
            <w:rFonts w:cs="Arial"/>
            <w:bCs/>
            <w:sz w:val="24"/>
            <w:szCs w:val="24"/>
          </w:rPr>
          <w:t>Recruitment pages on InTouch</w:t>
        </w:r>
      </w:hyperlink>
      <w:r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9117D" w:rsidRDefault="00D9117D" w:rsidP="00EC0376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:rsidR="00D9117D" w:rsidRPr="00EC0376" w:rsidRDefault="00D9117D" w:rsidP="00EC0376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:rsidR="00FC0744" w:rsidRDefault="00FC0744" w:rsidP="00FC0744">
      <w:pPr>
        <w:widowControl w:val="0"/>
        <w:overflowPunct w:val="0"/>
        <w:autoSpaceDE w:val="0"/>
        <w:autoSpaceDN w:val="0"/>
        <w:adjustRightInd w:val="0"/>
        <w:spacing w:line="244" w:lineRule="auto"/>
        <w:ind w:right="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It is recommended by the </w:t>
      </w:r>
      <w:r w:rsidR="00D9117D">
        <w:rPr>
          <w:rFonts w:cs="Arial"/>
          <w:sz w:val="24"/>
        </w:rPr>
        <w:t>Executive Director – People,</w:t>
      </w:r>
      <w:r>
        <w:rPr>
          <w:rFonts w:cs="Arial"/>
          <w:sz w:val="24"/>
        </w:rPr>
        <w:t xml:space="preserve"> that this policy is adopted by schools.  Where adopted by a school, for “</w:t>
      </w:r>
      <w:r w:rsidR="00D9117D">
        <w:rPr>
          <w:rFonts w:cs="Arial"/>
          <w:sz w:val="24"/>
        </w:rPr>
        <w:t>Executive</w:t>
      </w:r>
      <w:r>
        <w:rPr>
          <w:rFonts w:cs="Arial"/>
          <w:sz w:val="24"/>
        </w:rPr>
        <w:t xml:space="preserve"> Director” read “Headteacher/Chair of Governors” and for “</w:t>
      </w:r>
      <w:r w:rsidR="00D9117D">
        <w:rPr>
          <w:rFonts w:cs="Arial"/>
          <w:sz w:val="24"/>
        </w:rPr>
        <w:t>People Management</w:t>
      </w:r>
      <w:r>
        <w:rPr>
          <w:rFonts w:cs="Arial"/>
          <w:sz w:val="24"/>
        </w:rPr>
        <w:t xml:space="preserve">” read “HR provider”. </w:t>
      </w:r>
    </w:p>
    <w:p w:rsidR="00FC0744" w:rsidRPr="00EC0376" w:rsidRDefault="00FC0744" w:rsidP="00EC0376">
      <w:pPr>
        <w:rPr>
          <w:rFonts w:cs="Arial"/>
          <w:color w:val="FF0000"/>
          <w:sz w:val="24"/>
        </w:rPr>
      </w:pPr>
    </w:p>
    <w:p w:rsidR="003E2C80" w:rsidRPr="00E56122" w:rsidRDefault="005A1192" w:rsidP="00E56122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10" w:tgtFrame="_new" w:tooltip="View this document (eLibrary ref #52402)" w:history="1">
        <w:r w:rsidR="00045A0A" w:rsidRPr="00E56122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</w:t>
        </w:r>
        <w:r w:rsidR="00BC12AE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rocess</w:t>
        </w:r>
      </w:hyperlink>
    </w:p>
    <w:p w:rsidR="003E2C80" w:rsidRPr="00D576BD" w:rsidRDefault="003E2C80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:rsidR="00006848" w:rsidRPr="00006848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>Vacancy Management</w:t>
      </w:r>
    </w:p>
    <w:p w:rsidR="00006848" w:rsidRDefault="00006848" w:rsidP="00006848">
      <w:pPr>
        <w:pStyle w:val="next"/>
        <w:spacing w:after="0"/>
        <w:ind w:left="567"/>
      </w:pPr>
      <w:r>
        <w:t>Recruiting managers are responsible for ensuring</w:t>
      </w:r>
      <w:r w:rsidR="009214C5">
        <w:t xml:space="preserve"> consideration is given to alternative resourcing options and that</w:t>
      </w:r>
      <w:r>
        <w:t xml:space="preserve"> th</w:t>
      </w:r>
      <w:r w:rsidR="009214C5">
        <w:t>e relevant approval is obtained before commencing recruitment to a vacant post.</w:t>
      </w:r>
    </w:p>
    <w:p w:rsidR="009214C5" w:rsidRPr="00006848" w:rsidRDefault="009214C5" w:rsidP="00006848">
      <w:pPr>
        <w:pStyle w:val="next"/>
        <w:spacing w:after="0"/>
        <w:ind w:left="567"/>
      </w:pPr>
    </w:p>
    <w:p w:rsidR="00006848" w:rsidRPr="009214C5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>Recruitment Advertising and Selection</w:t>
      </w:r>
    </w:p>
    <w:p w:rsidR="009214C5" w:rsidRDefault="009214C5" w:rsidP="009214C5">
      <w:pPr>
        <w:pStyle w:val="next"/>
        <w:spacing w:after="0"/>
        <w:ind w:left="567"/>
      </w:pPr>
      <w:r>
        <w:t xml:space="preserve">All advertising and selection procedures must conform to Equality legislation </w:t>
      </w:r>
      <w:r w:rsidR="002E3574">
        <w:t xml:space="preserve">and be fair and transparent.  The procedures followed will also ensure that </w:t>
      </w:r>
      <w:r>
        <w:t xml:space="preserve">employees who may be at </w:t>
      </w:r>
      <w:r>
        <w:lastRenderedPageBreak/>
        <w:t>risk of redundancy or are unable to continue in their current role due to illness or disability, are able to secure alternative employment within the council.</w:t>
      </w:r>
    </w:p>
    <w:p w:rsidR="009214C5" w:rsidRDefault="009214C5" w:rsidP="009214C5">
      <w:pPr>
        <w:pStyle w:val="next"/>
        <w:spacing w:after="0"/>
        <w:ind w:left="567"/>
      </w:pPr>
    </w:p>
    <w:p w:rsidR="009214C5" w:rsidRDefault="009214C5" w:rsidP="009214C5">
      <w:pPr>
        <w:pStyle w:val="next"/>
        <w:spacing w:after="0"/>
        <w:ind w:left="567"/>
      </w:pPr>
      <w:r>
        <w:t xml:space="preserve">Recruiting managers </w:t>
      </w:r>
      <w:r w:rsidR="00656EE6">
        <w:t xml:space="preserve">are </w:t>
      </w:r>
      <w:r>
        <w:t xml:space="preserve">expected to maintain accurate </w:t>
      </w:r>
      <w:r w:rsidR="00656EE6">
        <w:t xml:space="preserve">written </w:t>
      </w:r>
      <w:r>
        <w:t>records throughout the recruitment process.</w:t>
      </w:r>
    </w:p>
    <w:p w:rsidR="002E3574" w:rsidRPr="00006848" w:rsidRDefault="002E3574" w:rsidP="009214C5">
      <w:pPr>
        <w:pStyle w:val="next"/>
        <w:spacing w:after="0"/>
        <w:ind w:left="567"/>
      </w:pPr>
    </w:p>
    <w:p w:rsidR="00006848" w:rsidRPr="002E3574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>Appointment – Pre-employment checks</w:t>
      </w:r>
    </w:p>
    <w:p w:rsidR="002E3574" w:rsidRDefault="002E3574" w:rsidP="002E3574">
      <w:pPr>
        <w:pStyle w:val="next"/>
        <w:spacing w:after="0"/>
        <w:ind w:left="567"/>
        <w:rPr>
          <w:szCs w:val="24"/>
        </w:rPr>
      </w:pPr>
      <w:r>
        <w:rPr>
          <w:szCs w:val="24"/>
        </w:rPr>
        <w:t>Offers of employment are subject to the satisfactory completion of pre-employment checks and managers must not allow applicants to commence employment before these are confirmed.</w:t>
      </w:r>
    </w:p>
    <w:p w:rsidR="00656EE6" w:rsidRDefault="00656EE6" w:rsidP="002E3574">
      <w:pPr>
        <w:pStyle w:val="next"/>
        <w:spacing w:after="0"/>
        <w:ind w:left="567"/>
        <w:rPr>
          <w:szCs w:val="24"/>
        </w:rPr>
      </w:pPr>
      <w:r>
        <w:rPr>
          <w:szCs w:val="24"/>
        </w:rPr>
        <w:t xml:space="preserve">The Safe Recruitment Guidance should be followed for posts where the duties include contact with service users </w:t>
      </w:r>
      <w:r>
        <w:rPr>
          <w:rFonts w:cs="Arial"/>
        </w:rPr>
        <w:t>who may be children or adults.</w:t>
      </w:r>
    </w:p>
    <w:p w:rsidR="002E3574" w:rsidRPr="00006848" w:rsidRDefault="002E3574" w:rsidP="002E3574">
      <w:pPr>
        <w:pStyle w:val="next"/>
        <w:spacing w:after="0"/>
        <w:ind w:left="567"/>
      </w:pPr>
    </w:p>
    <w:p w:rsidR="00EC0376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 xml:space="preserve">Induction </w:t>
      </w:r>
    </w:p>
    <w:p w:rsidR="00EC0376" w:rsidRPr="00656EE6" w:rsidRDefault="00656EE6" w:rsidP="002E3574">
      <w:pPr>
        <w:pStyle w:val="next"/>
        <w:spacing w:after="0"/>
        <w:ind w:left="567"/>
      </w:pPr>
      <w:r>
        <w:t>The Induction process should be followed to enable people to become engaged in their work in the council.</w:t>
      </w:r>
    </w:p>
    <w:p w:rsidR="002E3574" w:rsidRDefault="002E3574" w:rsidP="00656EE6">
      <w:pPr>
        <w:pStyle w:val="next"/>
        <w:spacing w:after="0"/>
      </w:pPr>
    </w:p>
    <w:p w:rsidR="00EC0376" w:rsidRDefault="00EC0376" w:rsidP="00EC0376">
      <w:pPr>
        <w:numPr>
          <w:ilvl w:val="0"/>
          <w:numId w:val="10"/>
        </w:numPr>
        <w:spacing w:line="240" w:lineRule="auto"/>
        <w:ind w:left="567" w:hanging="567"/>
        <w:rPr>
          <w:rFonts w:cs="Arial"/>
          <w:sz w:val="24"/>
        </w:rPr>
      </w:pPr>
      <w:r w:rsidRPr="00EC0376">
        <w:rPr>
          <w:rFonts w:cs="Arial"/>
          <w:sz w:val="24"/>
        </w:rPr>
        <w:t xml:space="preserve">Process &amp; process </w:t>
      </w:r>
      <w:r w:rsidR="00656EE6">
        <w:rPr>
          <w:rFonts w:cs="Arial"/>
          <w:sz w:val="24"/>
        </w:rPr>
        <w:t>maps</w:t>
      </w:r>
    </w:p>
    <w:p w:rsidR="00656EE6" w:rsidRPr="00EC0376" w:rsidRDefault="00656EE6" w:rsidP="00656EE6">
      <w:pPr>
        <w:spacing w:line="240" w:lineRule="auto"/>
        <w:ind w:left="567"/>
        <w:rPr>
          <w:rFonts w:cs="Arial"/>
          <w:sz w:val="24"/>
        </w:rPr>
      </w:pPr>
      <w:r>
        <w:rPr>
          <w:rFonts w:cs="Arial"/>
          <w:sz w:val="24"/>
        </w:rPr>
        <w:t>Detailed guidance and process maps are provided to enable managers and employees comply with this procedure.</w:t>
      </w:r>
    </w:p>
    <w:p w:rsidR="003E2C80" w:rsidRPr="00045A0A" w:rsidRDefault="003E2C80" w:rsidP="00E56122">
      <w:pPr>
        <w:spacing w:line="240" w:lineRule="auto"/>
        <w:rPr>
          <w:rFonts w:cs="Arial"/>
          <w:iCs/>
          <w:sz w:val="24"/>
        </w:rPr>
      </w:pPr>
    </w:p>
    <w:p w:rsidR="003E2C80" w:rsidRPr="00D576BD" w:rsidRDefault="003E2C80" w:rsidP="00E56122">
      <w:pPr>
        <w:spacing w:line="240" w:lineRule="auto"/>
        <w:rPr>
          <w:rFonts w:cs="Arial"/>
          <w:iCs/>
          <w:sz w:val="22"/>
          <w:szCs w:val="22"/>
        </w:rPr>
      </w:pPr>
    </w:p>
    <w:p w:rsidR="00045A0A" w:rsidRPr="00EC0376" w:rsidRDefault="005A1192" w:rsidP="00EC0376">
      <w:pPr>
        <w:tabs>
          <w:tab w:val="num" w:pos="720"/>
        </w:tabs>
        <w:rPr>
          <w:rFonts w:cs="Arial"/>
          <w:bCs/>
        </w:rPr>
      </w:pPr>
      <w:hyperlink r:id="rId11" w:tgtFrame="_new" w:tooltip="View this document (eLibrary ref #52402)" w:history="1">
        <w:r w:rsidR="00EC0376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Responsibilities</w:t>
        </w:r>
      </w:hyperlink>
      <w:r w:rsidR="00EC0376">
        <w:rPr>
          <w:rStyle w:val="Hyperlink"/>
          <w:rFonts w:ascii="Arial Black" w:hAnsi="Arial Black" w:cs="Arial"/>
          <w:color w:val="0082AA"/>
          <w:sz w:val="28"/>
          <w:szCs w:val="28"/>
        </w:rPr>
        <w:t xml:space="preserve"> </w:t>
      </w:r>
    </w:p>
    <w:p w:rsidR="00045A0A" w:rsidRPr="00D576BD" w:rsidRDefault="00045A0A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:rsidR="002E3574" w:rsidRPr="00D96BBE" w:rsidRDefault="002E3574" w:rsidP="00D96BBE">
      <w:pPr>
        <w:ind w:left="1140" w:hanging="1140"/>
        <w:rPr>
          <w:rFonts w:cs="Arial"/>
          <w:sz w:val="24"/>
        </w:rPr>
      </w:pPr>
      <w:r w:rsidRPr="00D96BBE">
        <w:rPr>
          <w:rFonts w:cs="Arial"/>
          <w:sz w:val="24"/>
        </w:rPr>
        <w:t>Managers will:</w:t>
      </w:r>
    </w:p>
    <w:p w:rsidR="002E3574" w:rsidRPr="0037246A" w:rsidRDefault="002E3574" w:rsidP="002E3574">
      <w:pPr>
        <w:rPr>
          <w:rFonts w:cs="Arial"/>
          <w:sz w:val="8"/>
          <w:szCs w:val="8"/>
        </w:rPr>
      </w:pPr>
    </w:p>
    <w:p w:rsidR="002E3574" w:rsidRPr="00D96BBE" w:rsidRDefault="002E3574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Ensure</w:t>
      </w:r>
      <w:r w:rsidR="004F1574">
        <w:rPr>
          <w:rFonts w:cs="Arial"/>
          <w:sz w:val="24"/>
        </w:rPr>
        <w:t xml:space="preserve"> there is at least one appropriately trained person on the selection panel and that others </w:t>
      </w:r>
      <w:r w:rsidRPr="00D96BBE">
        <w:rPr>
          <w:rFonts w:cs="Arial"/>
          <w:sz w:val="24"/>
        </w:rPr>
        <w:t xml:space="preserve">engaged in the recruitment process have </w:t>
      </w:r>
      <w:r w:rsidR="004F1574">
        <w:rPr>
          <w:rFonts w:cs="Arial"/>
          <w:sz w:val="24"/>
        </w:rPr>
        <w:t>read and understood the policy and guidance</w:t>
      </w:r>
    </w:p>
    <w:p w:rsidR="002E3574" w:rsidRDefault="002E3574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Maintain accurate written records of selection procedures for all applicants</w:t>
      </w:r>
    </w:p>
    <w:p w:rsidR="00656EE6" w:rsidRPr="00D96BBE" w:rsidRDefault="00656EE6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Ensure selection processes safeguard service users who may be children or adults</w:t>
      </w:r>
    </w:p>
    <w:p w:rsidR="00D96BBE" w:rsidRPr="00D96BBE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 xml:space="preserve">Treat all applicants fairly </w:t>
      </w:r>
    </w:p>
    <w:p w:rsidR="00D96BBE" w:rsidRPr="00D96BBE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Be prepared to give unsuccessful applicants constructive feedback</w:t>
      </w:r>
    </w:p>
    <w:p w:rsidR="002E3574" w:rsidRPr="00D96BBE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 xml:space="preserve">Seek advice from </w:t>
      </w:r>
      <w:r w:rsidR="005A1192">
        <w:rPr>
          <w:rFonts w:cs="Arial"/>
          <w:sz w:val="24"/>
        </w:rPr>
        <w:t>People Management</w:t>
      </w:r>
      <w:r w:rsidRPr="00D96BBE">
        <w:rPr>
          <w:rFonts w:cs="Arial"/>
          <w:sz w:val="24"/>
        </w:rPr>
        <w:t xml:space="preserve"> or the Service Centre where necessary</w:t>
      </w:r>
    </w:p>
    <w:p w:rsidR="00D96BBE" w:rsidRPr="00D96BBE" w:rsidRDefault="00D96BBE" w:rsidP="00D96BBE">
      <w:pPr>
        <w:pStyle w:val="ListParagraph"/>
        <w:spacing w:line="240" w:lineRule="auto"/>
        <w:ind w:left="1080"/>
        <w:rPr>
          <w:rFonts w:cs="Arial"/>
          <w:sz w:val="24"/>
        </w:rPr>
      </w:pPr>
    </w:p>
    <w:p w:rsidR="002E3574" w:rsidRPr="00D96BBE" w:rsidRDefault="002E3574" w:rsidP="002E3574">
      <w:pPr>
        <w:ind w:left="1140" w:hanging="1140"/>
        <w:rPr>
          <w:rFonts w:cs="Arial"/>
          <w:sz w:val="24"/>
        </w:rPr>
      </w:pPr>
      <w:r w:rsidRPr="00D96BBE">
        <w:rPr>
          <w:rFonts w:cs="Arial"/>
          <w:sz w:val="24"/>
        </w:rPr>
        <w:t>HR</w:t>
      </w:r>
      <w:r w:rsidR="00D96BBE" w:rsidRPr="00D96BBE">
        <w:rPr>
          <w:rFonts w:cs="Arial"/>
          <w:sz w:val="24"/>
        </w:rPr>
        <w:t xml:space="preserve"> and Service Centre</w:t>
      </w:r>
      <w:r w:rsidRPr="00D96BBE">
        <w:rPr>
          <w:rFonts w:cs="Arial"/>
          <w:sz w:val="24"/>
        </w:rPr>
        <w:t xml:space="preserve"> will:-</w:t>
      </w:r>
    </w:p>
    <w:p w:rsidR="002E3574" w:rsidRPr="00D96BBE" w:rsidRDefault="002E3574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Provide advice and support to managers and employees where necessary</w:t>
      </w:r>
    </w:p>
    <w:p w:rsidR="00EC0376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Work closely with managers and applicants to ensure all recruitment is administered in a timely manner to reduce delays to appointments</w:t>
      </w:r>
    </w:p>
    <w:p w:rsidR="00EC0376" w:rsidRPr="00955B37" w:rsidRDefault="00EC0376" w:rsidP="00656EE6">
      <w:pPr>
        <w:rPr>
          <w:rFonts w:cs="Arial"/>
          <w:sz w:val="24"/>
        </w:rPr>
      </w:pPr>
    </w:p>
    <w:p w:rsidR="00EC0376" w:rsidRPr="00955B37" w:rsidRDefault="00EC0376" w:rsidP="00EC0376">
      <w:pPr>
        <w:rPr>
          <w:rFonts w:cs="Arial"/>
          <w:sz w:val="24"/>
        </w:rPr>
      </w:pPr>
      <w:r w:rsidRPr="00955B37">
        <w:rPr>
          <w:rFonts w:cs="Arial"/>
          <w:sz w:val="24"/>
        </w:rPr>
        <w:t xml:space="preserve">Should further clarification be required in relation to the process please contact </w:t>
      </w:r>
      <w:r w:rsidR="00D96BBE">
        <w:rPr>
          <w:rFonts w:cs="Arial"/>
          <w:sz w:val="24"/>
        </w:rPr>
        <w:t>the</w:t>
      </w:r>
      <w:r w:rsidRPr="00955B37">
        <w:rPr>
          <w:rFonts w:cs="Arial"/>
          <w:sz w:val="24"/>
        </w:rPr>
        <w:t xml:space="preserve"> </w:t>
      </w:r>
      <w:r w:rsidR="005A1192">
        <w:rPr>
          <w:rFonts w:cs="Arial"/>
          <w:sz w:val="24"/>
        </w:rPr>
        <w:t>People Management Team</w:t>
      </w:r>
      <w:r w:rsidRPr="00955B37">
        <w:rPr>
          <w:rFonts w:cs="Arial"/>
          <w:sz w:val="24"/>
        </w:rPr>
        <w:t xml:space="preserve">. </w:t>
      </w:r>
    </w:p>
    <w:p w:rsidR="00955B37" w:rsidRDefault="00955B37" w:rsidP="00E56122">
      <w:pPr>
        <w:spacing w:line="240" w:lineRule="auto"/>
        <w:rPr>
          <w:rFonts w:cs="Arial"/>
          <w:iCs/>
          <w:sz w:val="24"/>
        </w:rPr>
      </w:pPr>
    </w:p>
    <w:p w:rsidR="00955B37" w:rsidRPr="00C60A17" w:rsidRDefault="00955B37" w:rsidP="00955B37">
      <w:pPr>
        <w:pStyle w:val="SubHead"/>
        <w:rPr>
          <w:rFonts w:ascii="Arial" w:hAnsi="Arial" w:cs="Arial"/>
          <w:b w:val="0"/>
          <w:bCs/>
          <w:sz w:val="24"/>
          <w:szCs w:val="24"/>
        </w:rPr>
      </w:pPr>
      <w:r w:rsidRPr="00C60A17">
        <w:rPr>
          <w:rFonts w:ascii="Arial" w:hAnsi="Arial" w:cs="Arial"/>
          <w:b w:val="0"/>
          <w:bCs/>
          <w:sz w:val="24"/>
          <w:szCs w:val="24"/>
        </w:rPr>
        <w:t>For Schools:</w:t>
      </w:r>
    </w:p>
    <w:p w:rsidR="00955B37" w:rsidRPr="00C60A17" w:rsidRDefault="00955B37" w:rsidP="00955B37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55B37" w:rsidRPr="00955B37" w:rsidTr="00BA3D52">
        <w:tc>
          <w:tcPr>
            <w:tcW w:w="4984" w:type="dxa"/>
            <w:shd w:val="clear" w:color="auto" w:fill="auto"/>
          </w:tcPr>
          <w:p w:rsidR="00955B37" w:rsidRPr="00955B37" w:rsidRDefault="00955B37" w:rsidP="00BA3D52">
            <w:pPr>
              <w:ind w:right="1"/>
              <w:rPr>
                <w:rFonts w:cs="Arial"/>
                <w:sz w:val="24"/>
              </w:rPr>
            </w:pPr>
            <w:r w:rsidRPr="00955B37">
              <w:rPr>
                <w:rFonts w:cs="Arial"/>
                <w:sz w:val="24"/>
              </w:rPr>
              <w:t>Name of School:</w:t>
            </w:r>
          </w:p>
        </w:tc>
        <w:tc>
          <w:tcPr>
            <w:tcW w:w="4984" w:type="dxa"/>
            <w:shd w:val="clear" w:color="auto" w:fill="auto"/>
          </w:tcPr>
          <w:p w:rsidR="00955B37" w:rsidRPr="00955B37" w:rsidRDefault="00955B37" w:rsidP="00BA3D5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55B37" w:rsidRPr="00955B37" w:rsidTr="00BA3D52">
        <w:tc>
          <w:tcPr>
            <w:tcW w:w="4984" w:type="dxa"/>
            <w:shd w:val="clear" w:color="auto" w:fill="auto"/>
          </w:tcPr>
          <w:p w:rsidR="00955B37" w:rsidRPr="00955B37" w:rsidRDefault="00955B37" w:rsidP="00BA3D52">
            <w:pPr>
              <w:ind w:right="1"/>
              <w:rPr>
                <w:rFonts w:cs="Arial"/>
                <w:sz w:val="24"/>
              </w:rPr>
            </w:pPr>
            <w:r w:rsidRPr="00955B37">
              <w:rPr>
                <w:rFonts w:cs="Arial"/>
                <w:sz w:val="24"/>
              </w:rPr>
              <w:t>Date by which School have adopted procedure:</w:t>
            </w:r>
          </w:p>
        </w:tc>
        <w:tc>
          <w:tcPr>
            <w:tcW w:w="4984" w:type="dxa"/>
            <w:shd w:val="clear" w:color="auto" w:fill="auto"/>
          </w:tcPr>
          <w:p w:rsidR="00955B37" w:rsidRPr="00955B37" w:rsidRDefault="00955B37" w:rsidP="00BA3D52">
            <w:pPr>
              <w:pStyle w:val="SubHead"/>
              <w:ind w:firstLine="7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955B37" w:rsidRDefault="00955B37" w:rsidP="006A2DCC">
      <w:pPr>
        <w:rPr>
          <w:rFonts w:cs="Arial"/>
          <w:bCs/>
          <w:sz w:val="24"/>
          <w:lang w:eastAsia="en-US"/>
        </w:rPr>
      </w:pPr>
    </w:p>
    <w:p w:rsidR="00F74F96" w:rsidRDefault="00F74F96" w:rsidP="006A2DCC">
      <w:pPr>
        <w:rPr>
          <w:rFonts w:cs="Arial"/>
          <w:b/>
          <w:bCs/>
          <w:sz w:val="24"/>
          <w:lang w:eastAsia="en-US"/>
        </w:rPr>
      </w:pPr>
      <w:bookmarkStart w:id="0" w:name="_GoBack"/>
      <w:bookmarkEnd w:id="0"/>
    </w:p>
    <w:sectPr w:rsidR="00F74F96" w:rsidSect="006A2D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25" w:rsidRDefault="00A93125">
      <w:r>
        <w:separator/>
      </w:r>
    </w:p>
  </w:endnote>
  <w:endnote w:type="continuationSeparator" w:id="0">
    <w:p w:rsidR="00A93125" w:rsidRDefault="00A9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5A1192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F74F96">
      <w:rPr>
        <w:rFonts w:cs="Arial"/>
        <w:b/>
        <w:color w:val="007EA9"/>
        <w:sz w:val="19"/>
        <w:szCs w:val="19"/>
      </w:rPr>
      <w:tab/>
    </w:r>
    <w:r w:rsidR="000B3809">
      <w:rPr>
        <w:rFonts w:cs="Arial"/>
        <w:b/>
        <w:color w:val="007EA9"/>
        <w:sz w:val="19"/>
        <w:szCs w:val="19"/>
      </w:rPr>
      <w:fldChar w:fldCharType="begin"/>
    </w:r>
    <w:r w:rsidR="000B3809">
      <w:rPr>
        <w:rFonts w:cs="Arial"/>
        <w:b/>
        <w:color w:val="007EA9"/>
        <w:sz w:val="19"/>
        <w:szCs w:val="19"/>
      </w:rPr>
      <w:instrText xml:space="preserve"> FILENAME   \* MERGEFORMAT </w:instrText>
    </w:r>
    <w:r w:rsidR="000B3809">
      <w:rPr>
        <w:rFonts w:cs="Arial"/>
        <w:b/>
        <w:color w:val="007EA9"/>
        <w:sz w:val="19"/>
        <w:szCs w:val="19"/>
      </w:rPr>
      <w:fldChar w:fldCharType="separate"/>
    </w:r>
    <w:r w:rsidR="00146ADE">
      <w:rPr>
        <w:rFonts w:cs="Arial"/>
        <w:b/>
        <w:noProof/>
        <w:color w:val="007EA9"/>
        <w:sz w:val="19"/>
        <w:szCs w:val="19"/>
      </w:rPr>
      <w:t>Recruitment Appointment and Induction Procedure_v0 2 091014</w:t>
    </w:r>
    <w:r w:rsidR="000B3809">
      <w:rPr>
        <w:rFonts w:cs="Arial"/>
        <w:b/>
        <w:color w:val="007EA9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3A23A5" w:rsidRDefault="00F74F96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Name/v1.0/</w:t>
    </w:r>
    <w:proofErr w:type="spellStart"/>
    <w:r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5A1192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25" w:rsidRDefault="00A93125">
      <w:r>
        <w:separator/>
      </w:r>
    </w:p>
  </w:footnote>
  <w:footnote w:type="continuationSeparator" w:id="0">
    <w:p w:rsidR="00A93125" w:rsidRDefault="00A9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045A0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Name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D077D9" w:rsidP="004B0EBD">
    <w:pPr>
      <w:ind w:left="-851"/>
    </w:pPr>
    <w:r>
      <w:rPr>
        <w:noProof/>
      </w:rPr>
      <w:drawing>
        <wp:inline distT="0" distB="0" distL="0" distR="0" wp14:anchorId="52A47DC5" wp14:editId="0B79E136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064D65"/>
    <w:multiLevelType w:val="hybridMultilevel"/>
    <w:tmpl w:val="BD5A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2D3"/>
    <w:multiLevelType w:val="hybridMultilevel"/>
    <w:tmpl w:val="02C6C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6848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3809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4743"/>
    <w:rsid w:val="00144E71"/>
    <w:rsid w:val="00146ADE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C62D8"/>
    <w:rsid w:val="002D1E19"/>
    <w:rsid w:val="002D2913"/>
    <w:rsid w:val="002E3574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61933"/>
    <w:rsid w:val="004740ED"/>
    <w:rsid w:val="00477374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4F1574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1192"/>
    <w:rsid w:val="005A2F69"/>
    <w:rsid w:val="005A552F"/>
    <w:rsid w:val="005C1CD7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56EE6"/>
    <w:rsid w:val="00661973"/>
    <w:rsid w:val="00663175"/>
    <w:rsid w:val="006704DE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C3D45"/>
    <w:rsid w:val="008D1740"/>
    <w:rsid w:val="008F79A0"/>
    <w:rsid w:val="009054E6"/>
    <w:rsid w:val="009120E6"/>
    <w:rsid w:val="00920CD7"/>
    <w:rsid w:val="009214C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C192A"/>
    <w:rsid w:val="009C523D"/>
    <w:rsid w:val="00A00097"/>
    <w:rsid w:val="00A0799E"/>
    <w:rsid w:val="00A1159B"/>
    <w:rsid w:val="00A2477C"/>
    <w:rsid w:val="00A24AC9"/>
    <w:rsid w:val="00A2539E"/>
    <w:rsid w:val="00A330E1"/>
    <w:rsid w:val="00A56C3E"/>
    <w:rsid w:val="00A63315"/>
    <w:rsid w:val="00A8163E"/>
    <w:rsid w:val="00A84663"/>
    <w:rsid w:val="00A87000"/>
    <w:rsid w:val="00A93125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175F7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117D"/>
    <w:rsid w:val="00D96738"/>
    <w:rsid w:val="00D96BBE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0376"/>
    <w:rsid w:val="00EC35EF"/>
    <w:rsid w:val="00ED2D7A"/>
    <w:rsid w:val="00ED49F5"/>
    <w:rsid w:val="00EF3B59"/>
    <w:rsid w:val="00EF4D6E"/>
    <w:rsid w:val="00F016B5"/>
    <w:rsid w:val="00F115F7"/>
    <w:rsid w:val="00F13F30"/>
    <w:rsid w:val="00F15879"/>
    <w:rsid w:val="00F26F9F"/>
    <w:rsid w:val="00F30B0D"/>
    <w:rsid w:val="00F62E1E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ouch.ccc/elibrary/Content/Intranet/536/671/5053/6001/41410105256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ouch.ccc/elibrary/Content/Intranet/536/671/5053/6001/41410105256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ouch.ccc/hr/recruitment_selection_induction/default.as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3637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Armstrong, Angela C</cp:lastModifiedBy>
  <cp:revision>3</cp:revision>
  <cp:lastPrinted>2014-10-15T07:56:00Z</cp:lastPrinted>
  <dcterms:created xsi:type="dcterms:W3CDTF">2019-01-11T10:06:00Z</dcterms:created>
  <dcterms:modified xsi:type="dcterms:W3CDTF">2019-01-11T10:21:00Z</dcterms:modified>
</cp:coreProperties>
</file>